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B4EEB" w14:textId="77777777" w:rsidR="005B537B" w:rsidRPr="005B537B" w:rsidRDefault="005B537B" w:rsidP="005B537B">
      <w:pPr>
        <w:tabs>
          <w:tab w:val="left" w:pos="708"/>
          <w:tab w:val="center" w:pos="4419"/>
          <w:tab w:val="right" w:pos="8838"/>
        </w:tabs>
        <w:spacing w:after="0" w:line="240" w:lineRule="auto"/>
        <w:contextualSpacing/>
        <w:jc w:val="center"/>
        <w:rPr>
          <w:rFonts w:ascii="Arial" w:eastAsia="Calibri" w:hAnsi="Arial" w:cs="Arial"/>
          <w:b/>
          <w:bCs/>
          <w:color w:val="2F5496"/>
          <w:kern w:val="0"/>
          <w:sz w:val="20"/>
          <w:szCs w:val="20"/>
          <w:lang w:val="es-ES"/>
          <w14:ligatures w14:val="none"/>
        </w:rPr>
      </w:pPr>
      <w:r w:rsidRPr="005B537B">
        <w:rPr>
          <w:rFonts w:ascii="Arial" w:eastAsia="Calibri" w:hAnsi="Arial" w:cs="Arial"/>
          <w:b/>
          <w:bCs/>
          <w:color w:val="2F5496"/>
          <w:kern w:val="0"/>
          <w:sz w:val="20"/>
          <w:szCs w:val="20"/>
          <w:lang w:val="es-ES"/>
          <w14:ligatures w14:val="none"/>
        </w:rPr>
        <w:t>UNIVERSIDAD DE MAGALLANES</w:t>
      </w:r>
    </w:p>
    <w:p w14:paraId="244F6FE7" w14:textId="77777777" w:rsidR="005B537B" w:rsidRPr="005B537B" w:rsidRDefault="005B537B" w:rsidP="005B537B">
      <w:pPr>
        <w:tabs>
          <w:tab w:val="left" w:pos="708"/>
          <w:tab w:val="center" w:pos="4419"/>
          <w:tab w:val="right" w:pos="8838"/>
        </w:tabs>
        <w:spacing w:after="0" w:line="240" w:lineRule="auto"/>
        <w:contextualSpacing/>
        <w:jc w:val="center"/>
        <w:rPr>
          <w:rFonts w:ascii="Arial" w:eastAsia="Calibri" w:hAnsi="Arial" w:cs="Arial"/>
          <w:b/>
          <w:bCs/>
          <w:color w:val="2F5496"/>
          <w:kern w:val="0"/>
          <w:sz w:val="20"/>
          <w:szCs w:val="20"/>
          <w:lang w:val="es-ES"/>
          <w14:ligatures w14:val="none"/>
        </w:rPr>
      </w:pPr>
      <w:r w:rsidRPr="005B537B">
        <w:rPr>
          <w:rFonts w:ascii="Arial" w:eastAsia="Calibri" w:hAnsi="Arial" w:cs="Arial"/>
          <w:b/>
          <w:bCs/>
          <w:color w:val="2F5496"/>
          <w:kern w:val="0"/>
          <w:sz w:val="20"/>
          <w:szCs w:val="20"/>
          <w:lang w:val="es-ES"/>
          <w14:ligatures w14:val="none"/>
        </w:rPr>
        <w:t>FONDO I+D+i UNIVERSITARIO TERRITORIAL (FIUT)</w:t>
      </w:r>
    </w:p>
    <w:p w14:paraId="1684C54A" w14:textId="77777777" w:rsidR="005B537B" w:rsidRPr="005B537B" w:rsidRDefault="005B537B" w:rsidP="005B537B">
      <w:pPr>
        <w:tabs>
          <w:tab w:val="center" w:pos="4419"/>
          <w:tab w:val="right" w:pos="8838"/>
        </w:tabs>
        <w:spacing w:after="0" w:line="240" w:lineRule="auto"/>
        <w:contextualSpacing/>
        <w:jc w:val="center"/>
        <w:rPr>
          <w:rFonts w:ascii="Arial" w:eastAsia="Calibri" w:hAnsi="Arial" w:cs="Arial"/>
          <w:b/>
          <w:bCs/>
          <w:color w:val="2F5496"/>
          <w:kern w:val="0"/>
          <w:sz w:val="20"/>
          <w:szCs w:val="20"/>
          <w:lang w:val="es-ES"/>
          <w14:ligatures w14:val="none"/>
        </w:rPr>
      </w:pPr>
      <w:r w:rsidRPr="005B537B">
        <w:rPr>
          <w:rFonts w:ascii="Arial" w:eastAsia="Calibri" w:hAnsi="Arial" w:cs="Arial"/>
          <w:b/>
          <w:bCs/>
          <w:color w:val="2F5496"/>
          <w:kern w:val="0"/>
          <w:sz w:val="20"/>
          <w:szCs w:val="20"/>
          <w:lang w:val="es-ES"/>
          <w14:ligatures w14:val="none"/>
        </w:rPr>
        <w:t>PROYECTO: INVESTIGACIÓN INTEGRAL PARA EL DESARROLLO SOSTENIBLE EN MAGALLANES FIUT 2024 – 108371.</w:t>
      </w:r>
    </w:p>
    <w:p w14:paraId="7E916F96" w14:textId="77777777" w:rsidR="005B537B" w:rsidRPr="005B537B" w:rsidRDefault="005B537B" w:rsidP="005B537B">
      <w:pPr>
        <w:tabs>
          <w:tab w:val="center" w:pos="4419"/>
          <w:tab w:val="right" w:pos="8838"/>
        </w:tabs>
        <w:spacing w:after="0" w:line="240" w:lineRule="auto"/>
        <w:contextualSpacing/>
        <w:jc w:val="center"/>
        <w:rPr>
          <w:rFonts w:ascii="Arial" w:eastAsia="Calibri" w:hAnsi="Arial" w:cs="Arial"/>
          <w:b/>
          <w:bCs/>
          <w:color w:val="000000"/>
          <w:kern w:val="0"/>
          <w:sz w:val="20"/>
          <w:szCs w:val="20"/>
          <w:lang w:val="es-ES"/>
          <w14:ligatures w14:val="none"/>
        </w:rPr>
      </w:pPr>
    </w:p>
    <w:p w14:paraId="2C72C72D" w14:textId="77777777" w:rsidR="005B537B" w:rsidRPr="005B537B" w:rsidRDefault="005B537B" w:rsidP="005B537B">
      <w:pPr>
        <w:spacing w:after="0" w:line="240" w:lineRule="auto"/>
        <w:jc w:val="both"/>
        <w:rPr>
          <w:rFonts w:ascii="Arial" w:eastAsia="Times New Roman" w:hAnsi="Arial" w:cs="Arial"/>
          <w:b/>
          <w:bCs/>
          <w:kern w:val="0"/>
          <w:sz w:val="20"/>
          <w:szCs w:val="20"/>
          <w:lang w:val="es-ES" w:eastAsia="es-MX"/>
          <w14:ligatures w14:val="none"/>
        </w:rPr>
      </w:pPr>
    </w:p>
    <w:tbl>
      <w:tblPr>
        <w:tblStyle w:val="Tablaconcuadrcula1clara-nfasis11"/>
        <w:tblW w:w="0" w:type="auto"/>
        <w:jc w:val="center"/>
        <w:tblLook w:val="04A0" w:firstRow="1" w:lastRow="0" w:firstColumn="1" w:lastColumn="0" w:noHBand="0" w:noVBand="1"/>
      </w:tblPr>
      <w:tblGrid>
        <w:gridCol w:w="2405"/>
        <w:gridCol w:w="6423"/>
      </w:tblGrid>
      <w:tr w:rsidR="005B537B" w:rsidRPr="005B537B" w14:paraId="27E50E70" w14:textId="77777777" w:rsidTr="005B537B">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8828" w:type="dxa"/>
            <w:gridSpan w:val="2"/>
            <w:hideMark/>
          </w:tcPr>
          <w:p w14:paraId="4A4FE296" w14:textId="40350EFF" w:rsidR="005B537B" w:rsidRPr="005B537B" w:rsidRDefault="005B537B" w:rsidP="005B537B">
            <w:pPr>
              <w:jc w:val="center"/>
              <w:rPr>
                <w:rFonts w:ascii="Arial" w:eastAsia="Times New Roman" w:hAnsi="Arial" w:cs="Arial"/>
                <w:color w:val="2F5496"/>
                <w:sz w:val="20"/>
                <w:szCs w:val="20"/>
                <w:lang w:val="es-ES" w:eastAsia="es-MX"/>
              </w:rPr>
            </w:pPr>
            <w:r w:rsidRPr="005B537B">
              <w:rPr>
                <w:rFonts w:ascii="Arial" w:eastAsia="Times New Roman" w:hAnsi="Arial" w:cs="Arial"/>
                <w:color w:val="2F5496"/>
                <w:sz w:val="20"/>
                <w:szCs w:val="20"/>
                <w:lang w:val="es-ES" w:eastAsia="es-MX"/>
              </w:rPr>
              <w:t>Informe:</w:t>
            </w:r>
          </w:p>
          <w:p w14:paraId="75B47B24" w14:textId="7E37C548" w:rsidR="005B537B" w:rsidRPr="005B537B" w:rsidRDefault="005B537B" w:rsidP="005B537B">
            <w:pPr>
              <w:jc w:val="center"/>
              <w:rPr>
                <w:rFonts w:ascii="Arial" w:eastAsia="Times New Roman" w:hAnsi="Arial" w:cs="Arial"/>
                <w:sz w:val="20"/>
                <w:szCs w:val="20"/>
                <w:lang w:val="es-ES" w:eastAsia="es-MX"/>
              </w:rPr>
            </w:pPr>
            <w:r w:rsidRPr="005B537B">
              <w:rPr>
                <w:rFonts w:ascii="Arial" w:eastAsia="Times New Roman" w:hAnsi="Arial" w:cs="Arial"/>
                <w:color w:val="2F5496"/>
                <w:sz w:val="20"/>
                <w:szCs w:val="20"/>
                <w:lang w:val="es-ES" w:eastAsia="es-MX"/>
              </w:rPr>
              <w:t xml:space="preserve">Benchmarking: Universidad del Ártico. </w:t>
            </w:r>
            <w:proofErr w:type="spellStart"/>
            <w:r w:rsidRPr="005B537B">
              <w:rPr>
                <w:rFonts w:ascii="Arial" w:eastAsia="Times New Roman" w:hAnsi="Arial" w:cs="Arial"/>
                <w:color w:val="2F5496"/>
                <w:sz w:val="20"/>
                <w:szCs w:val="20"/>
                <w:lang w:val="es-ES" w:eastAsia="es-MX"/>
              </w:rPr>
              <w:t>UiT</w:t>
            </w:r>
            <w:proofErr w:type="spellEnd"/>
            <w:r w:rsidRPr="005B537B">
              <w:rPr>
                <w:rFonts w:ascii="Arial" w:eastAsia="Times New Roman" w:hAnsi="Arial" w:cs="Arial"/>
                <w:color w:val="2F5496"/>
                <w:sz w:val="20"/>
                <w:szCs w:val="20"/>
                <w:lang w:val="es-ES" w:eastAsia="es-MX"/>
              </w:rPr>
              <w:t>, Tromsø, Noruega.</w:t>
            </w:r>
          </w:p>
        </w:tc>
      </w:tr>
      <w:tr w:rsidR="005B537B" w:rsidRPr="005B537B" w14:paraId="19DCDB15" w14:textId="77777777" w:rsidTr="005B537B">
        <w:trPr>
          <w:trHeight w:val="270"/>
          <w:jc w:val="center"/>
        </w:trPr>
        <w:tc>
          <w:tcPr>
            <w:cnfStyle w:val="001000000000" w:firstRow="0" w:lastRow="0" w:firstColumn="1" w:lastColumn="0" w:oddVBand="0" w:evenVBand="0" w:oddHBand="0" w:evenHBand="0" w:firstRowFirstColumn="0" w:firstRowLastColumn="0" w:lastRowFirstColumn="0" w:lastRowLastColumn="0"/>
            <w:tcW w:w="2405" w:type="dxa"/>
            <w:hideMark/>
          </w:tcPr>
          <w:p w14:paraId="1967A9FE" w14:textId="77777777" w:rsidR="005B537B" w:rsidRPr="005B537B" w:rsidRDefault="005B537B" w:rsidP="005B537B">
            <w:pPr>
              <w:jc w:val="both"/>
              <w:rPr>
                <w:rFonts w:ascii="Arial" w:eastAsia="Times New Roman" w:hAnsi="Arial" w:cs="Arial"/>
                <w:color w:val="2F5496"/>
                <w:sz w:val="20"/>
                <w:szCs w:val="20"/>
                <w:lang w:val="es-ES" w:eastAsia="es-MX"/>
              </w:rPr>
            </w:pPr>
            <w:r w:rsidRPr="005B537B">
              <w:rPr>
                <w:rFonts w:ascii="Arial" w:eastAsia="Times New Roman" w:hAnsi="Arial" w:cs="Arial"/>
                <w:color w:val="2F5496"/>
                <w:sz w:val="20"/>
                <w:szCs w:val="20"/>
                <w:lang w:val="es-ES" w:eastAsia="es-MX"/>
              </w:rPr>
              <w:t>Fecha de entrega:</w:t>
            </w:r>
          </w:p>
        </w:tc>
        <w:tc>
          <w:tcPr>
            <w:tcW w:w="6423" w:type="dxa"/>
          </w:tcPr>
          <w:p w14:paraId="38F13DCE" w14:textId="5CFF62EF" w:rsidR="005B537B" w:rsidRPr="005B537B" w:rsidRDefault="005B537B" w:rsidP="005B537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MX"/>
              </w:rPr>
            </w:pPr>
            <w:r w:rsidRPr="005B537B">
              <w:rPr>
                <w:rFonts w:ascii="Arial" w:eastAsia="Times New Roman" w:hAnsi="Arial" w:cs="Arial"/>
                <w:sz w:val="20"/>
                <w:szCs w:val="20"/>
                <w:lang w:val="es-ES" w:eastAsia="es-MX"/>
              </w:rPr>
              <w:t>29 de septiembre de 2025</w:t>
            </w:r>
          </w:p>
        </w:tc>
      </w:tr>
      <w:tr w:rsidR="005B537B" w:rsidRPr="005B537B" w14:paraId="63283A22" w14:textId="77777777" w:rsidTr="005B537B">
        <w:trPr>
          <w:trHeight w:val="270"/>
          <w:jc w:val="center"/>
        </w:trPr>
        <w:tc>
          <w:tcPr>
            <w:cnfStyle w:val="001000000000" w:firstRow="0" w:lastRow="0" w:firstColumn="1" w:lastColumn="0" w:oddVBand="0" w:evenVBand="0" w:oddHBand="0" w:evenHBand="0" w:firstRowFirstColumn="0" w:firstRowLastColumn="0" w:lastRowFirstColumn="0" w:lastRowLastColumn="0"/>
            <w:tcW w:w="2405" w:type="dxa"/>
          </w:tcPr>
          <w:p w14:paraId="48CD86E6" w14:textId="77777777" w:rsidR="005B537B" w:rsidRPr="005B537B" w:rsidRDefault="005B537B" w:rsidP="005B537B">
            <w:pPr>
              <w:jc w:val="both"/>
              <w:rPr>
                <w:rFonts w:ascii="Arial" w:eastAsia="Times New Roman" w:hAnsi="Arial" w:cs="Arial"/>
                <w:color w:val="2F5496"/>
                <w:sz w:val="20"/>
                <w:szCs w:val="20"/>
                <w:lang w:val="es-ES" w:eastAsia="es-MX"/>
              </w:rPr>
            </w:pPr>
            <w:r w:rsidRPr="005B537B">
              <w:rPr>
                <w:rFonts w:ascii="Arial" w:eastAsia="Times New Roman" w:hAnsi="Arial" w:cs="Arial"/>
                <w:color w:val="2F5496"/>
                <w:sz w:val="20"/>
                <w:szCs w:val="20"/>
                <w:lang w:val="es-ES" w:eastAsia="es-MX"/>
              </w:rPr>
              <w:t>Fecha actualización:</w:t>
            </w:r>
          </w:p>
        </w:tc>
        <w:tc>
          <w:tcPr>
            <w:tcW w:w="6423" w:type="dxa"/>
          </w:tcPr>
          <w:p w14:paraId="0FBD1055" w14:textId="7E2122BC" w:rsidR="005B537B" w:rsidRPr="005B537B" w:rsidRDefault="005B537B" w:rsidP="005B537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MX"/>
              </w:rPr>
            </w:pPr>
            <w:r w:rsidRPr="005B537B">
              <w:rPr>
                <w:rFonts w:ascii="Arial" w:eastAsia="Times New Roman" w:hAnsi="Arial" w:cs="Arial"/>
                <w:sz w:val="20"/>
                <w:szCs w:val="20"/>
                <w:lang w:val="es-ES" w:eastAsia="es-MX"/>
              </w:rPr>
              <w:t>08 de julio de 2025</w:t>
            </w:r>
          </w:p>
        </w:tc>
      </w:tr>
      <w:tr w:rsidR="005B537B" w:rsidRPr="005B537B" w14:paraId="7580948C" w14:textId="77777777" w:rsidTr="005B537B">
        <w:trPr>
          <w:trHeight w:val="52"/>
          <w:jc w:val="center"/>
        </w:trPr>
        <w:tc>
          <w:tcPr>
            <w:cnfStyle w:val="001000000000" w:firstRow="0" w:lastRow="0" w:firstColumn="1" w:lastColumn="0" w:oddVBand="0" w:evenVBand="0" w:oddHBand="0" w:evenHBand="0" w:firstRowFirstColumn="0" w:firstRowLastColumn="0" w:lastRowFirstColumn="0" w:lastRowLastColumn="0"/>
            <w:tcW w:w="2405" w:type="dxa"/>
          </w:tcPr>
          <w:p w14:paraId="194B1F78" w14:textId="77777777" w:rsidR="005B537B" w:rsidRPr="005B537B" w:rsidRDefault="005B537B" w:rsidP="005B537B">
            <w:pPr>
              <w:jc w:val="both"/>
              <w:rPr>
                <w:rFonts w:ascii="Arial" w:eastAsia="Times New Roman" w:hAnsi="Arial" w:cs="Arial"/>
                <w:color w:val="2F5496"/>
                <w:sz w:val="20"/>
                <w:szCs w:val="20"/>
                <w:lang w:val="es-ES" w:eastAsia="es-MX"/>
              </w:rPr>
            </w:pPr>
            <w:r w:rsidRPr="005B537B">
              <w:rPr>
                <w:rFonts w:ascii="Arial" w:eastAsia="Times New Roman" w:hAnsi="Arial" w:cs="Arial"/>
                <w:color w:val="2F5496"/>
                <w:sz w:val="20"/>
                <w:szCs w:val="20"/>
                <w:lang w:val="es-ES" w:eastAsia="es-MX"/>
              </w:rPr>
              <w:t>Edición:</w:t>
            </w:r>
          </w:p>
        </w:tc>
        <w:tc>
          <w:tcPr>
            <w:tcW w:w="6423" w:type="dxa"/>
          </w:tcPr>
          <w:p w14:paraId="7202EE65" w14:textId="77777777" w:rsidR="005B537B" w:rsidRPr="005B537B" w:rsidRDefault="005B537B" w:rsidP="005B537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MX"/>
              </w:rPr>
            </w:pPr>
            <w:r w:rsidRPr="005B537B">
              <w:rPr>
                <w:rFonts w:ascii="Arial" w:eastAsia="Times New Roman" w:hAnsi="Arial" w:cs="Arial"/>
                <w:sz w:val="20"/>
                <w:szCs w:val="20"/>
                <w:lang w:val="es-ES" w:eastAsia="es-MX"/>
              </w:rPr>
              <w:t>Carolina Arango Sánchez.</w:t>
            </w:r>
          </w:p>
        </w:tc>
      </w:tr>
      <w:tr w:rsidR="005B537B" w:rsidRPr="005B537B" w14:paraId="7B0F5FE1" w14:textId="77777777" w:rsidTr="005B537B">
        <w:trPr>
          <w:trHeight w:val="52"/>
          <w:jc w:val="center"/>
        </w:trPr>
        <w:tc>
          <w:tcPr>
            <w:cnfStyle w:val="001000000000" w:firstRow="0" w:lastRow="0" w:firstColumn="1" w:lastColumn="0" w:oddVBand="0" w:evenVBand="0" w:oddHBand="0" w:evenHBand="0" w:firstRowFirstColumn="0" w:firstRowLastColumn="0" w:lastRowFirstColumn="0" w:lastRowLastColumn="0"/>
            <w:tcW w:w="2405" w:type="dxa"/>
          </w:tcPr>
          <w:p w14:paraId="12242F8C" w14:textId="5A28E75F" w:rsidR="005B537B" w:rsidRPr="005B537B" w:rsidRDefault="005B537B" w:rsidP="005B537B">
            <w:pPr>
              <w:jc w:val="both"/>
              <w:rPr>
                <w:rFonts w:ascii="Arial" w:eastAsia="Times New Roman" w:hAnsi="Arial" w:cs="Arial"/>
                <w:color w:val="2F5496"/>
                <w:sz w:val="20"/>
                <w:szCs w:val="20"/>
                <w:lang w:val="es-ES" w:eastAsia="es-MX"/>
              </w:rPr>
            </w:pPr>
            <w:r w:rsidRPr="005B537B">
              <w:rPr>
                <w:rFonts w:ascii="Arial" w:eastAsia="Times New Roman" w:hAnsi="Arial" w:cs="Arial"/>
                <w:color w:val="2F5496"/>
                <w:sz w:val="20"/>
                <w:szCs w:val="20"/>
                <w:lang w:val="es-ES" w:eastAsia="es-MX"/>
              </w:rPr>
              <w:t>Realizado por:</w:t>
            </w:r>
          </w:p>
        </w:tc>
        <w:tc>
          <w:tcPr>
            <w:tcW w:w="6423" w:type="dxa"/>
          </w:tcPr>
          <w:p w14:paraId="27058DF8" w14:textId="77777777" w:rsidR="005B537B" w:rsidRPr="005B537B" w:rsidRDefault="005B537B" w:rsidP="005B537B">
            <w:pPr>
              <w:pStyle w:val="Prrafodelista"/>
              <w:numPr>
                <w:ilvl w:val="0"/>
                <w:numId w:val="8"/>
              </w:numPr>
              <w:ind w:left="180" w:hanging="14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MX"/>
              </w:rPr>
            </w:pPr>
            <w:r w:rsidRPr="005B537B">
              <w:rPr>
                <w:rFonts w:ascii="Arial" w:eastAsia="Times New Roman" w:hAnsi="Arial" w:cs="Arial"/>
                <w:sz w:val="20"/>
                <w:szCs w:val="20"/>
                <w:lang w:val="es-ES" w:eastAsia="es-MX"/>
              </w:rPr>
              <w:t>Claudia Estrada Goic.</w:t>
            </w:r>
          </w:p>
          <w:p w14:paraId="0C35CE5D" w14:textId="77777777" w:rsidR="005B537B" w:rsidRPr="005B537B" w:rsidRDefault="005B537B" w:rsidP="005B537B">
            <w:pPr>
              <w:pStyle w:val="Prrafodelista"/>
              <w:numPr>
                <w:ilvl w:val="0"/>
                <w:numId w:val="8"/>
              </w:numPr>
              <w:ind w:left="180" w:hanging="14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MX"/>
              </w:rPr>
            </w:pPr>
            <w:r w:rsidRPr="005B537B">
              <w:rPr>
                <w:rFonts w:ascii="Arial" w:eastAsia="Times New Roman" w:hAnsi="Arial" w:cs="Arial"/>
                <w:sz w:val="20"/>
                <w:szCs w:val="20"/>
                <w:lang w:val="es-ES" w:eastAsia="es-MX"/>
              </w:rPr>
              <w:t xml:space="preserve">Margarita Álvarez </w:t>
            </w:r>
            <w:proofErr w:type="spellStart"/>
            <w:r w:rsidRPr="005B537B">
              <w:rPr>
                <w:rFonts w:ascii="Arial" w:eastAsia="Times New Roman" w:hAnsi="Arial" w:cs="Arial"/>
                <w:sz w:val="20"/>
                <w:szCs w:val="20"/>
                <w:lang w:val="es-ES" w:eastAsia="es-MX"/>
              </w:rPr>
              <w:t>Álvarez</w:t>
            </w:r>
            <w:proofErr w:type="spellEnd"/>
            <w:r w:rsidRPr="005B537B">
              <w:rPr>
                <w:rFonts w:ascii="Arial" w:eastAsia="Times New Roman" w:hAnsi="Arial" w:cs="Arial"/>
                <w:sz w:val="20"/>
                <w:szCs w:val="20"/>
                <w:lang w:val="es-ES" w:eastAsia="es-MX"/>
              </w:rPr>
              <w:t>.</w:t>
            </w:r>
          </w:p>
          <w:p w14:paraId="1140B93F" w14:textId="09368916" w:rsidR="005B537B" w:rsidRPr="005B537B" w:rsidRDefault="005B537B" w:rsidP="005B537B">
            <w:pPr>
              <w:pStyle w:val="Prrafodelista"/>
              <w:numPr>
                <w:ilvl w:val="0"/>
                <w:numId w:val="8"/>
              </w:numPr>
              <w:ind w:left="180" w:hanging="14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MX"/>
              </w:rPr>
            </w:pPr>
            <w:r w:rsidRPr="005B537B">
              <w:rPr>
                <w:rFonts w:ascii="Arial" w:eastAsia="Times New Roman" w:hAnsi="Arial" w:cs="Arial"/>
                <w:sz w:val="20"/>
                <w:szCs w:val="20"/>
                <w:lang w:val="es-ES" w:eastAsia="es-MX"/>
              </w:rPr>
              <w:t>Carolina Arango Sánchez.</w:t>
            </w:r>
          </w:p>
        </w:tc>
      </w:tr>
      <w:tr w:rsidR="005B537B" w:rsidRPr="005B537B" w14:paraId="08E13E14" w14:textId="77777777" w:rsidTr="005B537B">
        <w:trPr>
          <w:trHeight w:val="20"/>
          <w:jc w:val="center"/>
        </w:trPr>
        <w:tc>
          <w:tcPr>
            <w:cnfStyle w:val="001000000000" w:firstRow="0" w:lastRow="0" w:firstColumn="1" w:lastColumn="0" w:oddVBand="0" w:evenVBand="0" w:oddHBand="0" w:evenHBand="0" w:firstRowFirstColumn="0" w:firstRowLastColumn="0" w:lastRowFirstColumn="0" w:lastRowLastColumn="0"/>
            <w:tcW w:w="2405" w:type="dxa"/>
          </w:tcPr>
          <w:p w14:paraId="60CFA270" w14:textId="77777777" w:rsidR="005B537B" w:rsidRPr="005B537B" w:rsidRDefault="005B537B" w:rsidP="005B537B">
            <w:pPr>
              <w:jc w:val="both"/>
              <w:rPr>
                <w:rFonts w:ascii="Arial" w:eastAsia="Times New Roman" w:hAnsi="Arial" w:cs="Arial"/>
                <w:color w:val="2F5496"/>
                <w:sz w:val="20"/>
                <w:szCs w:val="20"/>
                <w:lang w:val="es-ES" w:eastAsia="es-MX"/>
              </w:rPr>
            </w:pPr>
            <w:r w:rsidRPr="005B537B">
              <w:rPr>
                <w:rFonts w:ascii="Arial" w:eastAsia="Times New Roman" w:hAnsi="Arial" w:cs="Arial"/>
                <w:color w:val="2F5496"/>
                <w:sz w:val="20"/>
                <w:szCs w:val="20"/>
                <w:lang w:val="es-ES" w:eastAsia="es-MX"/>
              </w:rPr>
              <w:t>Revisado por:</w:t>
            </w:r>
          </w:p>
        </w:tc>
        <w:tc>
          <w:tcPr>
            <w:tcW w:w="6423" w:type="dxa"/>
          </w:tcPr>
          <w:p w14:paraId="18978BF7" w14:textId="77777777" w:rsidR="005B537B" w:rsidRPr="005B537B" w:rsidRDefault="005B537B" w:rsidP="005B537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MX"/>
              </w:rPr>
            </w:pPr>
            <w:r w:rsidRPr="005B537B">
              <w:rPr>
                <w:rFonts w:ascii="Arial" w:eastAsia="Times New Roman" w:hAnsi="Arial" w:cs="Arial"/>
                <w:sz w:val="20"/>
                <w:szCs w:val="20"/>
                <w:lang w:val="es-ES" w:eastAsia="es-MX"/>
              </w:rPr>
              <w:t>Claudia Estrada Goic.</w:t>
            </w:r>
          </w:p>
        </w:tc>
      </w:tr>
    </w:tbl>
    <w:p w14:paraId="597317A6" w14:textId="77777777" w:rsidR="005B537B" w:rsidRPr="005B537B" w:rsidRDefault="005B537B" w:rsidP="005B537B">
      <w:pPr>
        <w:rPr>
          <w:rFonts w:ascii="Arial" w:hAnsi="Arial" w:cs="Arial"/>
          <w:b/>
          <w:bCs/>
          <w:sz w:val="28"/>
          <w:szCs w:val="28"/>
        </w:rPr>
      </w:pPr>
    </w:p>
    <w:p w14:paraId="7E6A145F" w14:textId="77777777" w:rsidR="002C1697" w:rsidRDefault="002C1697" w:rsidP="002C1697">
      <w:pPr>
        <w:pStyle w:val="Ttulo1"/>
        <w:numPr>
          <w:ilvl w:val="0"/>
          <w:numId w:val="0"/>
        </w:numPr>
        <w:ind w:left="720" w:hanging="360"/>
        <w:rPr>
          <w:rFonts w:eastAsia="Calibri"/>
          <w:b/>
          <w:bCs/>
          <w:lang w:val="es-ES"/>
        </w:rPr>
      </w:pPr>
      <w:bookmarkStart w:id="0" w:name="_Toc202867713"/>
      <w:r w:rsidRPr="002C1697">
        <w:rPr>
          <w:rFonts w:eastAsia="Calibri"/>
          <w:b/>
          <w:bCs/>
          <w:lang w:val="es-ES"/>
        </w:rPr>
        <w:t>CONTENIDO:</w:t>
      </w:r>
      <w:bookmarkEnd w:id="0"/>
    </w:p>
    <w:p w14:paraId="7EC04A1A" w14:textId="77777777" w:rsidR="002C1697" w:rsidRPr="00D273B4" w:rsidRDefault="002C1697" w:rsidP="00D273B4">
      <w:pPr>
        <w:rPr>
          <w:rFonts w:ascii="Arial" w:hAnsi="Arial" w:cs="Arial"/>
          <w:sz w:val="20"/>
          <w:szCs w:val="20"/>
          <w:lang w:val="es-ES"/>
        </w:rPr>
      </w:pPr>
    </w:p>
    <w:p w14:paraId="2F2C9300" w14:textId="02AB1926" w:rsidR="00D273B4" w:rsidRPr="00D273B4" w:rsidRDefault="00D273B4">
      <w:pPr>
        <w:pStyle w:val="TDC1"/>
        <w:tabs>
          <w:tab w:val="right" w:leader="underscore" w:pos="9962"/>
        </w:tabs>
        <w:rPr>
          <w:rFonts w:ascii="Arial" w:eastAsiaTheme="minorEastAsia" w:hAnsi="Arial" w:cs="Arial"/>
          <w:b w:val="0"/>
          <w:bCs w:val="0"/>
          <w:i w:val="0"/>
          <w:iCs w:val="0"/>
          <w:noProof/>
          <w:sz w:val="20"/>
          <w:szCs w:val="20"/>
          <w:lang w:val="es-CL" w:eastAsia="es-MX"/>
        </w:rPr>
      </w:pPr>
      <w:r w:rsidRPr="00D273B4">
        <w:rPr>
          <w:rFonts w:ascii="Arial" w:hAnsi="Arial" w:cs="Arial"/>
          <w:b w:val="0"/>
          <w:bCs w:val="0"/>
          <w:i w:val="0"/>
          <w:iCs w:val="0"/>
          <w:sz w:val="20"/>
          <w:szCs w:val="20"/>
          <w:lang w:val="es-ES"/>
        </w:rPr>
        <w:fldChar w:fldCharType="begin"/>
      </w:r>
      <w:r w:rsidRPr="00D273B4">
        <w:rPr>
          <w:rFonts w:ascii="Arial" w:hAnsi="Arial" w:cs="Arial"/>
          <w:b w:val="0"/>
          <w:bCs w:val="0"/>
          <w:i w:val="0"/>
          <w:iCs w:val="0"/>
          <w:sz w:val="20"/>
          <w:szCs w:val="20"/>
          <w:lang w:val="es-ES"/>
        </w:rPr>
        <w:instrText xml:space="preserve"> TOC \o "1-3" \h \z \u </w:instrText>
      </w:r>
      <w:r w:rsidRPr="00D273B4">
        <w:rPr>
          <w:rFonts w:ascii="Arial" w:hAnsi="Arial" w:cs="Arial"/>
          <w:b w:val="0"/>
          <w:bCs w:val="0"/>
          <w:i w:val="0"/>
          <w:iCs w:val="0"/>
          <w:sz w:val="20"/>
          <w:szCs w:val="20"/>
          <w:lang w:val="es-ES"/>
        </w:rPr>
        <w:fldChar w:fldCharType="separate"/>
      </w:r>
      <w:hyperlink w:anchor="_Toc202867713" w:history="1">
        <w:r w:rsidRPr="00D273B4">
          <w:rPr>
            <w:rStyle w:val="Hipervnculo"/>
            <w:rFonts w:ascii="Arial" w:eastAsia="Calibri" w:hAnsi="Arial" w:cs="Arial"/>
            <w:b w:val="0"/>
            <w:bCs w:val="0"/>
            <w:i w:val="0"/>
            <w:iCs w:val="0"/>
            <w:noProof/>
            <w:color w:val="auto"/>
            <w:sz w:val="20"/>
            <w:szCs w:val="20"/>
            <w:lang w:val="es-ES"/>
          </w:rPr>
          <w:t>CONTENIDO:</w:t>
        </w:r>
        <w:r w:rsidRPr="00D273B4">
          <w:rPr>
            <w:rFonts w:ascii="Arial" w:hAnsi="Arial" w:cs="Arial"/>
            <w:b w:val="0"/>
            <w:bCs w:val="0"/>
            <w:i w:val="0"/>
            <w:iCs w:val="0"/>
            <w:noProof/>
            <w:webHidden/>
            <w:sz w:val="20"/>
            <w:szCs w:val="20"/>
          </w:rPr>
          <w:tab/>
        </w:r>
        <w:r w:rsidRPr="00D273B4">
          <w:rPr>
            <w:rFonts w:ascii="Arial" w:hAnsi="Arial" w:cs="Arial"/>
            <w:b w:val="0"/>
            <w:bCs w:val="0"/>
            <w:i w:val="0"/>
            <w:iCs w:val="0"/>
            <w:noProof/>
            <w:webHidden/>
            <w:sz w:val="20"/>
            <w:szCs w:val="20"/>
          </w:rPr>
          <w:fldChar w:fldCharType="begin"/>
        </w:r>
        <w:r w:rsidRPr="00D273B4">
          <w:rPr>
            <w:rFonts w:ascii="Arial" w:hAnsi="Arial" w:cs="Arial"/>
            <w:b w:val="0"/>
            <w:bCs w:val="0"/>
            <w:i w:val="0"/>
            <w:iCs w:val="0"/>
            <w:noProof/>
            <w:webHidden/>
            <w:sz w:val="20"/>
            <w:szCs w:val="20"/>
          </w:rPr>
          <w:instrText xml:space="preserve"> PAGEREF _Toc202867713 \h </w:instrText>
        </w:r>
        <w:r w:rsidRPr="00D273B4">
          <w:rPr>
            <w:rFonts w:ascii="Arial" w:hAnsi="Arial" w:cs="Arial"/>
            <w:b w:val="0"/>
            <w:bCs w:val="0"/>
            <w:i w:val="0"/>
            <w:iCs w:val="0"/>
            <w:noProof/>
            <w:webHidden/>
            <w:sz w:val="20"/>
            <w:szCs w:val="20"/>
          </w:rPr>
        </w:r>
        <w:r w:rsidRPr="00D273B4">
          <w:rPr>
            <w:rFonts w:ascii="Arial" w:hAnsi="Arial" w:cs="Arial"/>
            <w:b w:val="0"/>
            <w:bCs w:val="0"/>
            <w:i w:val="0"/>
            <w:iCs w:val="0"/>
            <w:noProof/>
            <w:webHidden/>
            <w:sz w:val="20"/>
            <w:szCs w:val="20"/>
          </w:rPr>
          <w:fldChar w:fldCharType="separate"/>
        </w:r>
        <w:r w:rsidR="00183961">
          <w:rPr>
            <w:rFonts w:ascii="Arial" w:hAnsi="Arial" w:cs="Arial"/>
            <w:b w:val="0"/>
            <w:bCs w:val="0"/>
            <w:i w:val="0"/>
            <w:iCs w:val="0"/>
            <w:noProof/>
            <w:webHidden/>
            <w:sz w:val="20"/>
            <w:szCs w:val="20"/>
          </w:rPr>
          <w:t>1</w:t>
        </w:r>
        <w:r w:rsidRPr="00D273B4">
          <w:rPr>
            <w:rFonts w:ascii="Arial" w:hAnsi="Arial" w:cs="Arial"/>
            <w:b w:val="0"/>
            <w:bCs w:val="0"/>
            <w:i w:val="0"/>
            <w:iCs w:val="0"/>
            <w:noProof/>
            <w:webHidden/>
            <w:sz w:val="20"/>
            <w:szCs w:val="20"/>
          </w:rPr>
          <w:fldChar w:fldCharType="end"/>
        </w:r>
      </w:hyperlink>
    </w:p>
    <w:p w14:paraId="5C103E37" w14:textId="1A47CD4C" w:rsidR="00D273B4" w:rsidRPr="00D273B4" w:rsidRDefault="00000000" w:rsidP="00D273B4">
      <w:pPr>
        <w:pStyle w:val="TDC1"/>
        <w:tabs>
          <w:tab w:val="right" w:leader="underscore" w:pos="9962"/>
        </w:tabs>
        <w:spacing w:line="360" w:lineRule="auto"/>
        <w:rPr>
          <w:rFonts w:ascii="Arial" w:eastAsiaTheme="minorEastAsia" w:hAnsi="Arial" w:cs="Arial"/>
          <w:b w:val="0"/>
          <w:bCs w:val="0"/>
          <w:i w:val="0"/>
          <w:iCs w:val="0"/>
          <w:noProof/>
          <w:sz w:val="20"/>
          <w:szCs w:val="20"/>
          <w:lang w:val="es-CL" w:eastAsia="es-MX"/>
        </w:rPr>
      </w:pPr>
      <w:hyperlink w:anchor="_Toc202867714" w:history="1">
        <w:r w:rsidR="00D273B4" w:rsidRPr="00D273B4">
          <w:rPr>
            <w:rStyle w:val="Hipervnculo"/>
            <w:rFonts w:ascii="Arial" w:eastAsia="Calibri" w:hAnsi="Arial" w:cs="Arial"/>
            <w:b w:val="0"/>
            <w:bCs w:val="0"/>
            <w:i w:val="0"/>
            <w:iCs w:val="0"/>
            <w:noProof/>
            <w:color w:val="auto"/>
            <w:sz w:val="20"/>
            <w:szCs w:val="20"/>
            <w:lang w:val="es-ES"/>
          </w:rPr>
          <w:t>PROGRAMA:</w:t>
        </w:r>
        <w:r w:rsidR="00D273B4" w:rsidRPr="00D273B4">
          <w:rPr>
            <w:rFonts w:ascii="Arial" w:hAnsi="Arial" w:cs="Arial"/>
            <w:b w:val="0"/>
            <w:bCs w:val="0"/>
            <w:i w:val="0"/>
            <w:iCs w:val="0"/>
            <w:noProof/>
            <w:webHidden/>
            <w:sz w:val="20"/>
            <w:szCs w:val="20"/>
          </w:rPr>
          <w:tab/>
        </w:r>
        <w:r w:rsidR="00D273B4" w:rsidRPr="00D273B4">
          <w:rPr>
            <w:rFonts w:ascii="Arial" w:hAnsi="Arial" w:cs="Arial"/>
            <w:b w:val="0"/>
            <w:bCs w:val="0"/>
            <w:i w:val="0"/>
            <w:iCs w:val="0"/>
            <w:noProof/>
            <w:webHidden/>
            <w:sz w:val="20"/>
            <w:szCs w:val="20"/>
          </w:rPr>
          <w:fldChar w:fldCharType="begin"/>
        </w:r>
        <w:r w:rsidR="00D273B4" w:rsidRPr="00D273B4">
          <w:rPr>
            <w:rFonts w:ascii="Arial" w:hAnsi="Arial" w:cs="Arial"/>
            <w:b w:val="0"/>
            <w:bCs w:val="0"/>
            <w:i w:val="0"/>
            <w:iCs w:val="0"/>
            <w:noProof/>
            <w:webHidden/>
            <w:sz w:val="20"/>
            <w:szCs w:val="20"/>
          </w:rPr>
          <w:instrText xml:space="preserve"> PAGEREF _Toc202867714 \h </w:instrText>
        </w:r>
        <w:r w:rsidR="00D273B4" w:rsidRPr="00D273B4">
          <w:rPr>
            <w:rFonts w:ascii="Arial" w:hAnsi="Arial" w:cs="Arial"/>
            <w:b w:val="0"/>
            <w:bCs w:val="0"/>
            <w:i w:val="0"/>
            <w:iCs w:val="0"/>
            <w:noProof/>
            <w:webHidden/>
            <w:sz w:val="20"/>
            <w:szCs w:val="20"/>
          </w:rPr>
        </w:r>
        <w:r w:rsidR="00D273B4" w:rsidRPr="00D273B4">
          <w:rPr>
            <w:rFonts w:ascii="Arial" w:hAnsi="Arial" w:cs="Arial"/>
            <w:b w:val="0"/>
            <w:bCs w:val="0"/>
            <w:i w:val="0"/>
            <w:iCs w:val="0"/>
            <w:noProof/>
            <w:webHidden/>
            <w:sz w:val="20"/>
            <w:szCs w:val="20"/>
          </w:rPr>
          <w:fldChar w:fldCharType="separate"/>
        </w:r>
        <w:r w:rsidR="00183961">
          <w:rPr>
            <w:rFonts w:ascii="Arial" w:hAnsi="Arial" w:cs="Arial"/>
            <w:b w:val="0"/>
            <w:bCs w:val="0"/>
            <w:i w:val="0"/>
            <w:iCs w:val="0"/>
            <w:noProof/>
            <w:webHidden/>
            <w:sz w:val="20"/>
            <w:szCs w:val="20"/>
          </w:rPr>
          <w:t>2</w:t>
        </w:r>
        <w:r w:rsidR="00D273B4" w:rsidRPr="00D273B4">
          <w:rPr>
            <w:rFonts w:ascii="Arial" w:hAnsi="Arial" w:cs="Arial"/>
            <w:b w:val="0"/>
            <w:bCs w:val="0"/>
            <w:i w:val="0"/>
            <w:iCs w:val="0"/>
            <w:noProof/>
            <w:webHidden/>
            <w:sz w:val="20"/>
            <w:szCs w:val="20"/>
          </w:rPr>
          <w:fldChar w:fldCharType="end"/>
        </w:r>
      </w:hyperlink>
    </w:p>
    <w:p w14:paraId="762FAE4D" w14:textId="0892A088" w:rsidR="00D273B4" w:rsidRPr="00D273B4" w:rsidRDefault="00000000" w:rsidP="00D273B4">
      <w:pPr>
        <w:pStyle w:val="TDC1"/>
        <w:tabs>
          <w:tab w:val="left" w:pos="660"/>
          <w:tab w:val="right" w:leader="underscore" w:pos="9962"/>
        </w:tabs>
        <w:spacing w:line="360" w:lineRule="auto"/>
        <w:rPr>
          <w:rFonts w:ascii="Arial" w:eastAsiaTheme="minorEastAsia" w:hAnsi="Arial" w:cs="Arial"/>
          <w:b w:val="0"/>
          <w:bCs w:val="0"/>
          <w:i w:val="0"/>
          <w:iCs w:val="0"/>
          <w:noProof/>
          <w:sz w:val="20"/>
          <w:szCs w:val="20"/>
          <w:lang w:val="es-CL" w:eastAsia="es-MX"/>
        </w:rPr>
      </w:pPr>
      <w:hyperlink w:anchor="_Toc202867715" w:history="1">
        <w:r w:rsidR="00D273B4" w:rsidRPr="00D273B4">
          <w:rPr>
            <w:rStyle w:val="Hipervnculo"/>
            <w:rFonts w:ascii="Arial" w:hAnsi="Arial" w:cs="Arial"/>
            <w:b w:val="0"/>
            <w:bCs w:val="0"/>
            <w:i w:val="0"/>
            <w:iCs w:val="0"/>
            <w:noProof/>
            <w:color w:val="auto"/>
            <w:sz w:val="20"/>
            <w:szCs w:val="20"/>
          </w:rPr>
          <w:t>A.</w:t>
        </w:r>
        <w:r w:rsidR="00D273B4" w:rsidRPr="00D273B4">
          <w:rPr>
            <w:rFonts w:ascii="Arial" w:eastAsiaTheme="minorEastAsia" w:hAnsi="Arial" w:cs="Arial"/>
            <w:b w:val="0"/>
            <w:bCs w:val="0"/>
            <w:i w:val="0"/>
            <w:iCs w:val="0"/>
            <w:noProof/>
            <w:sz w:val="20"/>
            <w:szCs w:val="20"/>
            <w:lang w:val="es-CL" w:eastAsia="es-MX"/>
          </w:rPr>
          <w:tab/>
        </w:r>
        <w:r w:rsidR="00D273B4" w:rsidRPr="00D273B4">
          <w:rPr>
            <w:rStyle w:val="Hipervnculo"/>
            <w:rFonts w:ascii="Arial" w:hAnsi="Arial" w:cs="Arial"/>
            <w:b w:val="0"/>
            <w:bCs w:val="0"/>
            <w:i w:val="0"/>
            <w:iCs w:val="0"/>
            <w:noProof/>
            <w:color w:val="auto"/>
            <w:sz w:val="20"/>
            <w:szCs w:val="20"/>
          </w:rPr>
          <w:t>Reunión con el Rector de la Universidad del Ártico: Dag Rune Olsen</w:t>
        </w:r>
        <w:r w:rsidR="00D273B4" w:rsidRPr="00D273B4">
          <w:rPr>
            <w:rFonts w:ascii="Arial" w:hAnsi="Arial" w:cs="Arial"/>
            <w:b w:val="0"/>
            <w:bCs w:val="0"/>
            <w:i w:val="0"/>
            <w:iCs w:val="0"/>
            <w:noProof/>
            <w:webHidden/>
            <w:sz w:val="20"/>
            <w:szCs w:val="20"/>
          </w:rPr>
          <w:tab/>
        </w:r>
        <w:r w:rsidR="00D273B4" w:rsidRPr="00D273B4">
          <w:rPr>
            <w:rFonts w:ascii="Arial" w:hAnsi="Arial" w:cs="Arial"/>
            <w:b w:val="0"/>
            <w:bCs w:val="0"/>
            <w:i w:val="0"/>
            <w:iCs w:val="0"/>
            <w:noProof/>
            <w:webHidden/>
            <w:sz w:val="20"/>
            <w:szCs w:val="20"/>
          </w:rPr>
          <w:fldChar w:fldCharType="begin"/>
        </w:r>
        <w:r w:rsidR="00D273B4" w:rsidRPr="00D273B4">
          <w:rPr>
            <w:rFonts w:ascii="Arial" w:hAnsi="Arial" w:cs="Arial"/>
            <w:b w:val="0"/>
            <w:bCs w:val="0"/>
            <w:i w:val="0"/>
            <w:iCs w:val="0"/>
            <w:noProof/>
            <w:webHidden/>
            <w:sz w:val="20"/>
            <w:szCs w:val="20"/>
          </w:rPr>
          <w:instrText xml:space="preserve"> PAGEREF _Toc202867715 \h </w:instrText>
        </w:r>
        <w:r w:rsidR="00D273B4" w:rsidRPr="00D273B4">
          <w:rPr>
            <w:rFonts w:ascii="Arial" w:hAnsi="Arial" w:cs="Arial"/>
            <w:b w:val="0"/>
            <w:bCs w:val="0"/>
            <w:i w:val="0"/>
            <w:iCs w:val="0"/>
            <w:noProof/>
            <w:webHidden/>
            <w:sz w:val="20"/>
            <w:szCs w:val="20"/>
          </w:rPr>
        </w:r>
        <w:r w:rsidR="00D273B4" w:rsidRPr="00D273B4">
          <w:rPr>
            <w:rFonts w:ascii="Arial" w:hAnsi="Arial" w:cs="Arial"/>
            <w:b w:val="0"/>
            <w:bCs w:val="0"/>
            <w:i w:val="0"/>
            <w:iCs w:val="0"/>
            <w:noProof/>
            <w:webHidden/>
            <w:sz w:val="20"/>
            <w:szCs w:val="20"/>
          </w:rPr>
          <w:fldChar w:fldCharType="separate"/>
        </w:r>
        <w:r w:rsidR="00183961">
          <w:rPr>
            <w:rFonts w:ascii="Arial" w:hAnsi="Arial" w:cs="Arial"/>
            <w:b w:val="0"/>
            <w:bCs w:val="0"/>
            <w:i w:val="0"/>
            <w:iCs w:val="0"/>
            <w:noProof/>
            <w:webHidden/>
            <w:sz w:val="20"/>
            <w:szCs w:val="20"/>
          </w:rPr>
          <w:t>3</w:t>
        </w:r>
        <w:r w:rsidR="00D273B4" w:rsidRPr="00D273B4">
          <w:rPr>
            <w:rFonts w:ascii="Arial" w:hAnsi="Arial" w:cs="Arial"/>
            <w:b w:val="0"/>
            <w:bCs w:val="0"/>
            <w:i w:val="0"/>
            <w:iCs w:val="0"/>
            <w:noProof/>
            <w:webHidden/>
            <w:sz w:val="20"/>
            <w:szCs w:val="20"/>
          </w:rPr>
          <w:fldChar w:fldCharType="end"/>
        </w:r>
      </w:hyperlink>
    </w:p>
    <w:p w14:paraId="1E3EB683" w14:textId="3B2F5F5F" w:rsidR="00D273B4" w:rsidRPr="00D273B4" w:rsidRDefault="00000000" w:rsidP="00D273B4">
      <w:pPr>
        <w:pStyle w:val="TDC1"/>
        <w:tabs>
          <w:tab w:val="left" w:pos="440"/>
          <w:tab w:val="right" w:leader="underscore" w:pos="9962"/>
        </w:tabs>
        <w:spacing w:line="360" w:lineRule="auto"/>
        <w:rPr>
          <w:rFonts w:ascii="Arial" w:eastAsiaTheme="minorEastAsia" w:hAnsi="Arial" w:cs="Arial"/>
          <w:b w:val="0"/>
          <w:bCs w:val="0"/>
          <w:i w:val="0"/>
          <w:iCs w:val="0"/>
          <w:noProof/>
          <w:sz w:val="20"/>
          <w:szCs w:val="20"/>
          <w:lang w:val="es-CL" w:eastAsia="es-MX"/>
        </w:rPr>
      </w:pPr>
      <w:hyperlink w:anchor="_Toc202867716" w:history="1">
        <w:r w:rsidR="00D273B4" w:rsidRPr="00D273B4">
          <w:rPr>
            <w:rStyle w:val="Hipervnculo"/>
            <w:rFonts w:ascii="Arial" w:hAnsi="Arial" w:cs="Arial"/>
            <w:b w:val="0"/>
            <w:bCs w:val="0"/>
            <w:i w:val="0"/>
            <w:iCs w:val="0"/>
            <w:noProof/>
            <w:color w:val="auto"/>
            <w:sz w:val="20"/>
            <w:szCs w:val="20"/>
          </w:rPr>
          <w:t>B.</w:t>
        </w:r>
        <w:r w:rsidR="00D273B4" w:rsidRPr="00D273B4">
          <w:rPr>
            <w:rFonts w:ascii="Arial" w:eastAsiaTheme="minorEastAsia" w:hAnsi="Arial" w:cs="Arial"/>
            <w:b w:val="0"/>
            <w:bCs w:val="0"/>
            <w:i w:val="0"/>
            <w:iCs w:val="0"/>
            <w:noProof/>
            <w:sz w:val="20"/>
            <w:szCs w:val="20"/>
            <w:lang w:val="es-CL" w:eastAsia="es-MX"/>
          </w:rPr>
          <w:tab/>
        </w:r>
        <w:r w:rsidR="00D273B4" w:rsidRPr="00D273B4">
          <w:rPr>
            <w:rStyle w:val="Hipervnculo"/>
            <w:rFonts w:ascii="Arial" w:eastAsia="Calibri" w:hAnsi="Arial" w:cs="Arial"/>
            <w:b w:val="0"/>
            <w:bCs w:val="0"/>
            <w:i w:val="0"/>
            <w:iCs w:val="0"/>
            <w:noProof/>
            <w:color w:val="auto"/>
            <w:sz w:val="20"/>
            <w:szCs w:val="20"/>
            <w:lang w:val="es-ES"/>
          </w:rPr>
          <w:t>Reunión con el Departamento de Medicina Comunitaria Profesor de Salud Global y Epidemiología: Erik Eik Anda de la Universidad del Ártico UiT</w:t>
        </w:r>
        <w:r w:rsidR="00D273B4" w:rsidRPr="00D273B4">
          <w:rPr>
            <w:rFonts w:ascii="Arial" w:hAnsi="Arial" w:cs="Arial"/>
            <w:b w:val="0"/>
            <w:bCs w:val="0"/>
            <w:i w:val="0"/>
            <w:iCs w:val="0"/>
            <w:noProof/>
            <w:webHidden/>
            <w:sz w:val="20"/>
            <w:szCs w:val="20"/>
          </w:rPr>
          <w:tab/>
        </w:r>
        <w:r w:rsidR="00D273B4" w:rsidRPr="00D273B4">
          <w:rPr>
            <w:rFonts w:ascii="Arial" w:hAnsi="Arial" w:cs="Arial"/>
            <w:b w:val="0"/>
            <w:bCs w:val="0"/>
            <w:i w:val="0"/>
            <w:iCs w:val="0"/>
            <w:noProof/>
            <w:webHidden/>
            <w:sz w:val="20"/>
            <w:szCs w:val="20"/>
          </w:rPr>
          <w:fldChar w:fldCharType="begin"/>
        </w:r>
        <w:r w:rsidR="00D273B4" w:rsidRPr="00D273B4">
          <w:rPr>
            <w:rFonts w:ascii="Arial" w:hAnsi="Arial" w:cs="Arial"/>
            <w:b w:val="0"/>
            <w:bCs w:val="0"/>
            <w:i w:val="0"/>
            <w:iCs w:val="0"/>
            <w:noProof/>
            <w:webHidden/>
            <w:sz w:val="20"/>
            <w:szCs w:val="20"/>
          </w:rPr>
          <w:instrText xml:space="preserve"> PAGEREF _Toc202867716 \h </w:instrText>
        </w:r>
        <w:r w:rsidR="00D273B4" w:rsidRPr="00D273B4">
          <w:rPr>
            <w:rFonts w:ascii="Arial" w:hAnsi="Arial" w:cs="Arial"/>
            <w:b w:val="0"/>
            <w:bCs w:val="0"/>
            <w:i w:val="0"/>
            <w:iCs w:val="0"/>
            <w:noProof/>
            <w:webHidden/>
            <w:sz w:val="20"/>
            <w:szCs w:val="20"/>
          </w:rPr>
        </w:r>
        <w:r w:rsidR="00D273B4" w:rsidRPr="00D273B4">
          <w:rPr>
            <w:rFonts w:ascii="Arial" w:hAnsi="Arial" w:cs="Arial"/>
            <w:b w:val="0"/>
            <w:bCs w:val="0"/>
            <w:i w:val="0"/>
            <w:iCs w:val="0"/>
            <w:noProof/>
            <w:webHidden/>
            <w:sz w:val="20"/>
            <w:szCs w:val="20"/>
          </w:rPr>
          <w:fldChar w:fldCharType="separate"/>
        </w:r>
        <w:r w:rsidR="00183961">
          <w:rPr>
            <w:rFonts w:ascii="Arial" w:hAnsi="Arial" w:cs="Arial"/>
            <w:b w:val="0"/>
            <w:bCs w:val="0"/>
            <w:i w:val="0"/>
            <w:iCs w:val="0"/>
            <w:noProof/>
            <w:webHidden/>
            <w:sz w:val="20"/>
            <w:szCs w:val="20"/>
          </w:rPr>
          <w:t>4</w:t>
        </w:r>
        <w:r w:rsidR="00D273B4" w:rsidRPr="00D273B4">
          <w:rPr>
            <w:rFonts w:ascii="Arial" w:hAnsi="Arial" w:cs="Arial"/>
            <w:b w:val="0"/>
            <w:bCs w:val="0"/>
            <w:i w:val="0"/>
            <w:iCs w:val="0"/>
            <w:noProof/>
            <w:webHidden/>
            <w:sz w:val="20"/>
            <w:szCs w:val="20"/>
          </w:rPr>
          <w:fldChar w:fldCharType="end"/>
        </w:r>
      </w:hyperlink>
    </w:p>
    <w:p w14:paraId="66EC80B3" w14:textId="12BD15A4" w:rsidR="00D273B4" w:rsidRPr="00D273B4" w:rsidRDefault="00000000" w:rsidP="00D273B4">
      <w:pPr>
        <w:pStyle w:val="TDC1"/>
        <w:tabs>
          <w:tab w:val="left" w:pos="440"/>
          <w:tab w:val="right" w:leader="underscore" w:pos="9962"/>
        </w:tabs>
        <w:spacing w:line="360" w:lineRule="auto"/>
        <w:rPr>
          <w:rFonts w:ascii="Arial" w:eastAsiaTheme="minorEastAsia" w:hAnsi="Arial" w:cs="Arial"/>
          <w:b w:val="0"/>
          <w:bCs w:val="0"/>
          <w:i w:val="0"/>
          <w:iCs w:val="0"/>
          <w:noProof/>
          <w:sz w:val="20"/>
          <w:szCs w:val="20"/>
          <w:lang w:val="es-CL" w:eastAsia="es-MX"/>
        </w:rPr>
      </w:pPr>
      <w:hyperlink w:anchor="_Toc202867717" w:history="1">
        <w:r w:rsidR="00D273B4" w:rsidRPr="00D273B4">
          <w:rPr>
            <w:rStyle w:val="Hipervnculo"/>
            <w:rFonts w:ascii="Arial" w:eastAsia="Calibri" w:hAnsi="Arial" w:cs="Arial"/>
            <w:b w:val="0"/>
            <w:bCs w:val="0"/>
            <w:i w:val="0"/>
            <w:iCs w:val="0"/>
            <w:noProof/>
            <w:color w:val="auto"/>
            <w:sz w:val="20"/>
            <w:szCs w:val="20"/>
            <w:lang w:val="es-ES"/>
          </w:rPr>
          <w:t>C.</w:t>
        </w:r>
        <w:r w:rsidR="00D273B4" w:rsidRPr="00D273B4">
          <w:rPr>
            <w:rFonts w:ascii="Arial" w:eastAsiaTheme="minorEastAsia" w:hAnsi="Arial" w:cs="Arial"/>
            <w:b w:val="0"/>
            <w:bCs w:val="0"/>
            <w:i w:val="0"/>
            <w:iCs w:val="0"/>
            <w:noProof/>
            <w:sz w:val="20"/>
            <w:szCs w:val="20"/>
            <w:lang w:val="es-CL" w:eastAsia="es-MX"/>
          </w:rPr>
          <w:tab/>
        </w:r>
        <w:r w:rsidR="00D273B4" w:rsidRPr="00D273B4">
          <w:rPr>
            <w:rStyle w:val="Hipervnculo"/>
            <w:rFonts w:ascii="Arial" w:eastAsia="Calibri" w:hAnsi="Arial" w:cs="Arial"/>
            <w:b w:val="0"/>
            <w:bCs w:val="0"/>
            <w:i w:val="0"/>
            <w:iCs w:val="0"/>
            <w:noProof/>
            <w:color w:val="auto"/>
            <w:sz w:val="20"/>
            <w:szCs w:val="20"/>
            <w:lang w:val="es-ES"/>
          </w:rPr>
          <w:t>Reunión con el Centro de Estudios Sami Profesora de Estudios Indígenas de Broderstad, Else Grete de la Universidad del Ártico UiT</w:t>
        </w:r>
        <w:r w:rsidR="00D273B4" w:rsidRPr="00D273B4">
          <w:rPr>
            <w:rFonts w:ascii="Arial" w:hAnsi="Arial" w:cs="Arial"/>
            <w:b w:val="0"/>
            <w:bCs w:val="0"/>
            <w:i w:val="0"/>
            <w:iCs w:val="0"/>
            <w:noProof/>
            <w:webHidden/>
            <w:sz w:val="20"/>
            <w:szCs w:val="20"/>
          </w:rPr>
          <w:tab/>
        </w:r>
        <w:r w:rsidR="00D273B4" w:rsidRPr="00D273B4">
          <w:rPr>
            <w:rFonts w:ascii="Arial" w:hAnsi="Arial" w:cs="Arial"/>
            <w:b w:val="0"/>
            <w:bCs w:val="0"/>
            <w:i w:val="0"/>
            <w:iCs w:val="0"/>
            <w:noProof/>
            <w:webHidden/>
            <w:sz w:val="20"/>
            <w:szCs w:val="20"/>
          </w:rPr>
          <w:fldChar w:fldCharType="begin"/>
        </w:r>
        <w:r w:rsidR="00D273B4" w:rsidRPr="00D273B4">
          <w:rPr>
            <w:rFonts w:ascii="Arial" w:hAnsi="Arial" w:cs="Arial"/>
            <w:b w:val="0"/>
            <w:bCs w:val="0"/>
            <w:i w:val="0"/>
            <w:iCs w:val="0"/>
            <w:noProof/>
            <w:webHidden/>
            <w:sz w:val="20"/>
            <w:szCs w:val="20"/>
          </w:rPr>
          <w:instrText xml:space="preserve"> PAGEREF _Toc202867717 \h </w:instrText>
        </w:r>
        <w:r w:rsidR="00D273B4" w:rsidRPr="00D273B4">
          <w:rPr>
            <w:rFonts w:ascii="Arial" w:hAnsi="Arial" w:cs="Arial"/>
            <w:b w:val="0"/>
            <w:bCs w:val="0"/>
            <w:i w:val="0"/>
            <w:iCs w:val="0"/>
            <w:noProof/>
            <w:webHidden/>
            <w:sz w:val="20"/>
            <w:szCs w:val="20"/>
          </w:rPr>
        </w:r>
        <w:r w:rsidR="00D273B4" w:rsidRPr="00D273B4">
          <w:rPr>
            <w:rFonts w:ascii="Arial" w:hAnsi="Arial" w:cs="Arial"/>
            <w:b w:val="0"/>
            <w:bCs w:val="0"/>
            <w:i w:val="0"/>
            <w:iCs w:val="0"/>
            <w:noProof/>
            <w:webHidden/>
            <w:sz w:val="20"/>
            <w:szCs w:val="20"/>
          </w:rPr>
          <w:fldChar w:fldCharType="separate"/>
        </w:r>
        <w:r w:rsidR="00183961">
          <w:rPr>
            <w:rFonts w:ascii="Arial" w:hAnsi="Arial" w:cs="Arial"/>
            <w:b w:val="0"/>
            <w:bCs w:val="0"/>
            <w:i w:val="0"/>
            <w:iCs w:val="0"/>
            <w:noProof/>
            <w:webHidden/>
            <w:sz w:val="20"/>
            <w:szCs w:val="20"/>
          </w:rPr>
          <w:t>5</w:t>
        </w:r>
        <w:r w:rsidR="00D273B4" w:rsidRPr="00D273B4">
          <w:rPr>
            <w:rFonts w:ascii="Arial" w:hAnsi="Arial" w:cs="Arial"/>
            <w:b w:val="0"/>
            <w:bCs w:val="0"/>
            <w:i w:val="0"/>
            <w:iCs w:val="0"/>
            <w:noProof/>
            <w:webHidden/>
            <w:sz w:val="20"/>
            <w:szCs w:val="20"/>
          </w:rPr>
          <w:fldChar w:fldCharType="end"/>
        </w:r>
      </w:hyperlink>
    </w:p>
    <w:p w14:paraId="1A124D50" w14:textId="0215E7DC" w:rsidR="00D273B4" w:rsidRPr="00D273B4" w:rsidRDefault="00000000" w:rsidP="00D273B4">
      <w:pPr>
        <w:pStyle w:val="TDC1"/>
        <w:tabs>
          <w:tab w:val="left" w:pos="660"/>
          <w:tab w:val="right" w:leader="underscore" w:pos="9962"/>
        </w:tabs>
        <w:spacing w:line="360" w:lineRule="auto"/>
        <w:rPr>
          <w:rFonts w:ascii="Arial" w:eastAsiaTheme="minorEastAsia" w:hAnsi="Arial" w:cs="Arial"/>
          <w:b w:val="0"/>
          <w:bCs w:val="0"/>
          <w:i w:val="0"/>
          <w:iCs w:val="0"/>
          <w:noProof/>
          <w:sz w:val="20"/>
          <w:szCs w:val="20"/>
          <w:lang w:val="es-CL" w:eastAsia="es-MX"/>
        </w:rPr>
      </w:pPr>
      <w:hyperlink w:anchor="_Toc202867718" w:history="1">
        <w:r w:rsidR="00D273B4" w:rsidRPr="00D273B4">
          <w:rPr>
            <w:rStyle w:val="Hipervnculo"/>
            <w:rFonts w:ascii="Arial" w:eastAsia="Calibri" w:hAnsi="Arial" w:cs="Arial"/>
            <w:b w:val="0"/>
            <w:bCs w:val="0"/>
            <w:i w:val="0"/>
            <w:iCs w:val="0"/>
            <w:noProof/>
            <w:color w:val="auto"/>
            <w:sz w:val="20"/>
            <w:szCs w:val="20"/>
            <w:lang w:val="es-ES"/>
          </w:rPr>
          <w:t>D.</w:t>
        </w:r>
        <w:r w:rsidR="00D273B4" w:rsidRPr="00D273B4">
          <w:rPr>
            <w:rFonts w:ascii="Arial" w:eastAsiaTheme="minorEastAsia" w:hAnsi="Arial" w:cs="Arial"/>
            <w:b w:val="0"/>
            <w:bCs w:val="0"/>
            <w:i w:val="0"/>
            <w:iCs w:val="0"/>
            <w:noProof/>
            <w:sz w:val="20"/>
            <w:szCs w:val="20"/>
            <w:lang w:val="es-CL" w:eastAsia="es-MX"/>
          </w:rPr>
          <w:tab/>
        </w:r>
        <w:r w:rsidR="00D273B4" w:rsidRPr="00D273B4">
          <w:rPr>
            <w:rStyle w:val="Hipervnculo"/>
            <w:rFonts w:ascii="Arial" w:eastAsia="Calibri" w:hAnsi="Arial" w:cs="Arial"/>
            <w:b w:val="0"/>
            <w:bCs w:val="0"/>
            <w:i w:val="0"/>
            <w:iCs w:val="0"/>
            <w:noProof/>
            <w:color w:val="auto"/>
            <w:sz w:val="20"/>
            <w:szCs w:val="20"/>
            <w:lang w:val="es-ES"/>
          </w:rPr>
          <w:t>Reunión con el Vicerrector de Investigación y Desarrollo: Jan-Gunnar Winther de la Universidad del Ártico UiT, Campus Breivika</w:t>
        </w:r>
        <w:r w:rsidR="00D273B4" w:rsidRPr="00D273B4">
          <w:rPr>
            <w:rFonts w:ascii="Arial" w:hAnsi="Arial" w:cs="Arial"/>
            <w:b w:val="0"/>
            <w:bCs w:val="0"/>
            <w:i w:val="0"/>
            <w:iCs w:val="0"/>
            <w:noProof/>
            <w:webHidden/>
            <w:sz w:val="20"/>
            <w:szCs w:val="20"/>
          </w:rPr>
          <w:tab/>
        </w:r>
        <w:r w:rsidR="00D273B4" w:rsidRPr="00D273B4">
          <w:rPr>
            <w:rFonts w:ascii="Arial" w:hAnsi="Arial" w:cs="Arial"/>
            <w:b w:val="0"/>
            <w:bCs w:val="0"/>
            <w:i w:val="0"/>
            <w:iCs w:val="0"/>
            <w:noProof/>
            <w:webHidden/>
            <w:sz w:val="20"/>
            <w:szCs w:val="20"/>
          </w:rPr>
          <w:fldChar w:fldCharType="begin"/>
        </w:r>
        <w:r w:rsidR="00D273B4" w:rsidRPr="00D273B4">
          <w:rPr>
            <w:rFonts w:ascii="Arial" w:hAnsi="Arial" w:cs="Arial"/>
            <w:b w:val="0"/>
            <w:bCs w:val="0"/>
            <w:i w:val="0"/>
            <w:iCs w:val="0"/>
            <w:noProof/>
            <w:webHidden/>
            <w:sz w:val="20"/>
            <w:szCs w:val="20"/>
          </w:rPr>
          <w:instrText xml:space="preserve"> PAGEREF _Toc202867718 \h </w:instrText>
        </w:r>
        <w:r w:rsidR="00D273B4" w:rsidRPr="00D273B4">
          <w:rPr>
            <w:rFonts w:ascii="Arial" w:hAnsi="Arial" w:cs="Arial"/>
            <w:b w:val="0"/>
            <w:bCs w:val="0"/>
            <w:i w:val="0"/>
            <w:iCs w:val="0"/>
            <w:noProof/>
            <w:webHidden/>
            <w:sz w:val="20"/>
            <w:szCs w:val="20"/>
          </w:rPr>
        </w:r>
        <w:r w:rsidR="00D273B4" w:rsidRPr="00D273B4">
          <w:rPr>
            <w:rFonts w:ascii="Arial" w:hAnsi="Arial" w:cs="Arial"/>
            <w:b w:val="0"/>
            <w:bCs w:val="0"/>
            <w:i w:val="0"/>
            <w:iCs w:val="0"/>
            <w:noProof/>
            <w:webHidden/>
            <w:sz w:val="20"/>
            <w:szCs w:val="20"/>
          </w:rPr>
          <w:fldChar w:fldCharType="separate"/>
        </w:r>
        <w:r w:rsidR="00183961">
          <w:rPr>
            <w:rFonts w:ascii="Arial" w:hAnsi="Arial" w:cs="Arial"/>
            <w:b w:val="0"/>
            <w:bCs w:val="0"/>
            <w:i w:val="0"/>
            <w:iCs w:val="0"/>
            <w:noProof/>
            <w:webHidden/>
            <w:sz w:val="20"/>
            <w:szCs w:val="20"/>
          </w:rPr>
          <w:t>7</w:t>
        </w:r>
        <w:r w:rsidR="00D273B4" w:rsidRPr="00D273B4">
          <w:rPr>
            <w:rFonts w:ascii="Arial" w:hAnsi="Arial" w:cs="Arial"/>
            <w:b w:val="0"/>
            <w:bCs w:val="0"/>
            <w:i w:val="0"/>
            <w:iCs w:val="0"/>
            <w:noProof/>
            <w:webHidden/>
            <w:sz w:val="20"/>
            <w:szCs w:val="20"/>
          </w:rPr>
          <w:fldChar w:fldCharType="end"/>
        </w:r>
      </w:hyperlink>
    </w:p>
    <w:p w14:paraId="4B2CBA52" w14:textId="134EC49D" w:rsidR="00D273B4" w:rsidRPr="00D273B4" w:rsidRDefault="00000000" w:rsidP="00D273B4">
      <w:pPr>
        <w:pStyle w:val="TDC1"/>
        <w:tabs>
          <w:tab w:val="left" w:pos="440"/>
          <w:tab w:val="right" w:leader="underscore" w:pos="9962"/>
        </w:tabs>
        <w:spacing w:line="360" w:lineRule="auto"/>
        <w:rPr>
          <w:rFonts w:ascii="Arial" w:eastAsiaTheme="minorEastAsia" w:hAnsi="Arial" w:cs="Arial"/>
          <w:b w:val="0"/>
          <w:bCs w:val="0"/>
          <w:i w:val="0"/>
          <w:iCs w:val="0"/>
          <w:noProof/>
          <w:sz w:val="20"/>
          <w:szCs w:val="20"/>
          <w:lang w:val="es-CL" w:eastAsia="es-MX"/>
        </w:rPr>
      </w:pPr>
      <w:hyperlink w:anchor="_Toc202867719" w:history="1">
        <w:r w:rsidR="00D273B4" w:rsidRPr="00D273B4">
          <w:rPr>
            <w:rStyle w:val="Hipervnculo"/>
            <w:rFonts w:ascii="Arial" w:eastAsia="Calibri" w:hAnsi="Arial" w:cs="Arial"/>
            <w:b w:val="0"/>
            <w:bCs w:val="0"/>
            <w:i w:val="0"/>
            <w:iCs w:val="0"/>
            <w:noProof/>
            <w:color w:val="auto"/>
            <w:sz w:val="20"/>
            <w:szCs w:val="20"/>
            <w:lang w:val="es-ES"/>
          </w:rPr>
          <w:t>E.</w:t>
        </w:r>
        <w:r w:rsidR="00D273B4" w:rsidRPr="00D273B4">
          <w:rPr>
            <w:rFonts w:ascii="Arial" w:eastAsiaTheme="minorEastAsia" w:hAnsi="Arial" w:cs="Arial"/>
            <w:b w:val="0"/>
            <w:bCs w:val="0"/>
            <w:i w:val="0"/>
            <w:iCs w:val="0"/>
            <w:noProof/>
            <w:sz w:val="20"/>
            <w:szCs w:val="20"/>
            <w:lang w:val="es-CL" w:eastAsia="es-MX"/>
          </w:rPr>
          <w:tab/>
        </w:r>
        <w:r w:rsidR="00D273B4" w:rsidRPr="00D273B4">
          <w:rPr>
            <w:rStyle w:val="Hipervnculo"/>
            <w:rFonts w:ascii="Arial" w:eastAsia="Calibri" w:hAnsi="Arial" w:cs="Arial"/>
            <w:b w:val="0"/>
            <w:bCs w:val="0"/>
            <w:i w:val="0"/>
            <w:iCs w:val="0"/>
            <w:noProof/>
            <w:color w:val="auto"/>
            <w:sz w:val="20"/>
            <w:szCs w:val="20"/>
            <w:lang w:val="es-ES"/>
          </w:rPr>
          <w:t>Reunión con el presidente de la Universidad del Ártico (UArctic), Lars Kullerud</w:t>
        </w:r>
        <w:r w:rsidR="00D273B4" w:rsidRPr="00D273B4">
          <w:rPr>
            <w:rFonts w:ascii="Arial" w:hAnsi="Arial" w:cs="Arial"/>
            <w:b w:val="0"/>
            <w:bCs w:val="0"/>
            <w:i w:val="0"/>
            <w:iCs w:val="0"/>
            <w:noProof/>
            <w:webHidden/>
            <w:sz w:val="20"/>
            <w:szCs w:val="20"/>
          </w:rPr>
          <w:tab/>
        </w:r>
        <w:r w:rsidR="00D273B4" w:rsidRPr="00D273B4">
          <w:rPr>
            <w:rFonts w:ascii="Arial" w:hAnsi="Arial" w:cs="Arial"/>
            <w:b w:val="0"/>
            <w:bCs w:val="0"/>
            <w:i w:val="0"/>
            <w:iCs w:val="0"/>
            <w:noProof/>
            <w:webHidden/>
            <w:sz w:val="20"/>
            <w:szCs w:val="20"/>
          </w:rPr>
          <w:fldChar w:fldCharType="begin"/>
        </w:r>
        <w:r w:rsidR="00D273B4" w:rsidRPr="00D273B4">
          <w:rPr>
            <w:rFonts w:ascii="Arial" w:hAnsi="Arial" w:cs="Arial"/>
            <w:b w:val="0"/>
            <w:bCs w:val="0"/>
            <w:i w:val="0"/>
            <w:iCs w:val="0"/>
            <w:noProof/>
            <w:webHidden/>
            <w:sz w:val="20"/>
            <w:szCs w:val="20"/>
          </w:rPr>
          <w:instrText xml:space="preserve"> PAGEREF _Toc202867719 \h </w:instrText>
        </w:r>
        <w:r w:rsidR="00D273B4" w:rsidRPr="00D273B4">
          <w:rPr>
            <w:rFonts w:ascii="Arial" w:hAnsi="Arial" w:cs="Arial"/>
            <w:b w:val="0"/>
            <w:bCs w:val="0"/>
            <w:i w:val="0"/>
            <w:iCs w:val="0"/>
            <w:noProof/>
            <w:webHidden/>
            <w:sz w:val="20"/>
            <w:szCs w:val="20"/>
          </w:rPr>
        </w:r>
        <w:r w:rsidR="00D273B4" w:rsidRPr="00D273B4">
          <w:rPr>
            <w:rFonts w:ascii="Arial" w:hAnsi="Arial" w:cs="Arial"/>
            <w:b w:val="0"/>
            <w:bCs w:val="0"/>
            <w:i w:val="0"/>
            <w:iCs w:val="0"/>
            <w:noProof/>
            <w:webHidden/>
            <w:sz w:val="20"/>
            <w:szCs w:val="20"/>
          </w:rPr>
          <w:fldChar w:fldCharType="separate"/>
        </w:r>
        <w:r w:rsidR="00183961">
          <w:rPr>
            <w:rFonts w:ascii="Arial" w:hAnsi="Arial" w:cs="Arial"/>
            <w:b w:val="0"/>
            <w:bCs w:val="0"/>
            <w:i w:val="0"/>
            <w:iCs w:val="0"/>
            <w:noProof/>
            <w:webHidden/>
            <w:sz w:val="20"/>
            <w:szCs w:val="20"/>
          </w:rPr>
          <w:t>8</w:t>
        </w:r>
        <w:r w:rsidR="00D273B4" w:rsidRPr="00D273B4">
          <w:rPr>
            <w:rFonts w:ascii="Arial" w:hAnsi="Arial" w:cs="Arial"/>
            <w:b w:val="0"/>
            <w:bCs w:val="0"/>
            <w:i w:val="0"/>
            <w:iCs w:val="0"/>
            <w:noProof/>
            <w:webHidden/>
            <w:sz w:val="20"/>
            <w:szCs w:val="20"/>
          </w:rPr>
          <w:fldChar w:fldCharType="end"/>
        </w:r>
      </w:hyperlink>
    </w:p>
    <w:p w14:paraId="0DF4C7D7" w14:textId="5D60D20A" w:rsidR="00D273B4" w:rsidRPr="00D273B4" w:rsidRDefault="00000000" w:rsidP="00D273B4">
      <w:pPr>
        <w:pStyle w:val="TDC1"/>
        <w:tabs>
          <w:tab w:val="left" w:pos="440"/>
          <w:tab w:val="right" w:leader="underscore" w:pos="9962"/>
        </w:tabs>
        <w:spacing w:line="360" w:lineRule="auto"/>
        <w:rPr>
          <w:rFonts w:ascii="Arial" w:eastAsiaTheme="minorEastAsia" w:hAnsi="Arial" w:cs="Arial"/>
          <w:b w:val="0"/>
          <w:bCs w:val="0"/>
          <w:i w:val="0"/>
          <w:iCs w:val="0"/>
          <w:noProof/>
          <w:sz w:val="20"/>
          <w:szCs w:val="20"/>
          <w:lang w:val="es-CL" w:eastAsia="es-MX"/>
        </w:rPr>
      </w:pPr>
      <w:hyperlink w:anchor="_Toc202867720" w:history="1">
        <w:r w:rsidR="00D273B4" w:rsidRPr="00D273B4">
          <w:rPr>
            <w:rStyle w:val="Hipervnculo"/>
            <w:rFonts w:ascii="Arial" w:hAnsi="Arial" w:cs="Arial"/>
            <w:b w:val="0"/>
            <w:bCs w:val="0"/>
            <w:i w:val="0"/>
            <w:iCs w:val="0"/>
            <w:noProof/>
            <w:color w:val="auto"/>
            <w:sz w:val="20"/>
            <w:szCs w:val="20"/>
            <w:lang w:val="es-ES"/>
          </w:rPr>
          <w:t>F.</w:t>
        </w:r>
        <w:r w:rsidR="00D273B4" w:rsidRPr="00D273B4">
          <w:rPr>
            <w:rFonts w:ascii="Arial" w:eastAsiaTheme="minorEastAsia" w:hAnsi="Arial" w:cs="Arial"/>
            <w:b w:val="0"/>
            <w:bCs w:val="0"/>
            <w:i w:val="0"/>
            <w:iCs w:val="0"/>
            <w:noProof/>
            <w:sz w:val="20"/>
            <w:szCs w:val="20"/>
            <w:lang w:val="es-CL" w:eastAsia="es-MX"/>
          </w:rPr>
          <w:tab/>
        </w:r>
        <w:r w:rsidR="00D273B4" w:rsidRPr="00D273B4">
          <w:rPr>
            <w:rStyle w:val="Hipervnculo"/>
            <w:rFonts w:ascii="Arial" w:eastAsia="Calibri" w:hAnsi="Arial" w:cs="Arial"/>
            <w:b w:val="0"/>
            <w:bCs w:val="0"/>
            <w:i w:val="0"/>
            <w:iCs w:val="0"/>
            <w:noProof/>
            <w:color w:val="auto"/>
            <w:sz w:val="20"/>
            <w:szCs w:val="20"/>
            <w:lang w:val="es-ES"/>
          </w:rPr>
          <w:t>Reunión con el Centro de Estudios para la Paz (CPS) Profesor asociado Salehin, Mohammad Musfequs y con la Jefe del Centro (Profesor asociado) Marcela Douglas Aranibar  de la Universidad del Ártico (UArctic),</w:t>
        </w:r>
        <w:r w:rsidR="00D273B4" w:rsidRPr="00D273B4">
          <w:rPr>
            <w:rFonts w:ascii="Arial" w:hAnsi="Arial" w:cs="Arial"/>
            <w:b w:val="0"/>
            <w:bCs w:val="0"/>
            <w:i w:val="0"/>
            <w:iCs w:val="0"/>
            <w:noProof/>
            <w:webHidden/>
            <w:sz w:val="20"/>
            <w:szCs w:val="20"/>
          </w:rPr>
          <w:tab/>
        </w:r>
        <w:r w:rsidR="00D273B4" w:rsidRPr="00D273B4">
          <w:rPr>
            <w:rFonts w:ascii="Arial" w:hAnsi="Arial" w:cs="Arial"/>
            <w:b w:val="0"/>
            <w:bCs w:val="0"/>
            <w:i w:val="0"/>
            <w:iCs w:val="0"/>
            <w:noProof/>
            <w:webHidden/>
            <w:sz w:val="20"/>
            <w:szCs w:val="20"/>
          </w:rPr>
          <w:fldChar w:fldCharType="begin"/>
        </w:r>
        <w:r w:rsidR="00D273B4" w:rsidRPr="00D273B4">
          <w:rPr>
            <w:rFonts w:ascii="Arial" w:hAnsi="Arial" w:cs="Arial"/>
            <w:b w:val="0"/>
            <w:bCs w:val="0"/>
            <w:i w:val="0"/>
            <w:iCs w:val="0"/>
            <w:noProof/>
            <w:webHidden/>
            <w:sz w:val="20"/>
            <w:szCs w:val="20"/>
          </w:rPr>
          <w:instrText xml:space="preserve"> PAGEREF _Toc202867720 \h </w:instrText>
        </w:r>
        <w:r w:rsidR="00D273B4" w:rsidRPr="00D273B4">
          <w:rPr>
            <w:rFonts w:ascii="Arial" w:hAnsi="Arial" w:cs="Arial"/>
            <w:b w:val="0"/>
            <w:bCs w:val="0"/>
            <w:i w:val="0"/>
            <w:iCs w:val="0"/>
            <w:noProof/>
            <w:webHidden/>
            <w:sz w:val="20"/>
            <w:szCs w:val="20"/>
          </w:rPr>
        </w:r>
        <w:r w:rsidR="00D273B4" w:rsidRPr="00D273B4">
          <w:rPr>
            <w:rFonts w:ascii="Arial" w:hAnsi="Arial" w:cs="Arial"/>
            <w:b w:val="0"/>
            <w:bCs w:val="0"/>
            <w:i w:val="0"/>
            <w:iCs w:val="0"/>
            <w:noProof/>
            <w:webHidden/>
            <w:sz w:val="20"/>
            <w:szCs w:val="20"/>
          </w:rPr>
          <w:fldChar w:fldCharType="separate"/>
        </w:r>
        <w:r w:rsidR="00183961">
          <w:rPr>
            <w:rFonts w:ascii="Arial" w:hAnsi="Arial" w:cs="Arial"/>
            <w:b w:val="0"/>
            <w:bCs w:val="0"/>
            <w:i w:val="0"/>
            <w:iCs w:val="0"/>
            <w:noProof/>
            <w:webHidden/>
            <w:sz w:val="20"/>
            <w:szCs w:val="20"/>
          </w:rPr>
          <w:t>9</w:t>
        </w:r>
        <w:r w:rsidR="00D273B4" w:rsidRPr="00D273B4">
          <w:rPr>
            <w:rFonts w:ascii="Arial" w:hAnsi="Arial" w:cs="Arial"/>
            <w:b w:val="0"/>
            <w:bCs w:val="0"/>
            <w:i w:val="0"/>
            <w:iCs w:val="0"/>
            <w:noProof/>
            <w:webHidden/>
            <w:sz w:val="20"/>
            <w:szCs w:val="20"/>
          </w:rPr>
          <w:fldChar w:fldCharType="end"/>
        </w:r>
      </w:hyperlink>
    </w:p>
    <w:p w14:paraId="02A333BD" w14:textId="3D2741EC" w:rsidR="00D273B4" w:rsidRPr="00D273B4" w:rsidRDefault="00000000" w:rsidP="00D273B4">
      <w:pPr>
        <w:pStyle w:val="TDC1"/>
        <w:tabs>
          <w:tab w:val="right" w:leader="underscore" w:pos="9962"/>
        </w:tabs>
        <w:spacing w:line="360" w:lineRule="auto"/>
        <w:rPr>
          <w:rFonts w:ascii="Arial" w:eastAsiaTheme="minorEastAsia" w:hAnsi="Arial" w:cs="Arial"/>
          <w:b w:val="0"/>
          <w:bCs w:val="0"/>
          <w:i w:val="0"/>
          <w:iCs w:val="0"/>
          <w:noProof/>
          <w:sz w:val="20"/>
          <w:szCs w:val="20"/>
          <w:lang w:val="es-CL" w:eastAsia="es-MX"/>
        </w:rPr>
      </w:pPr>
      <w:hyperlink w:anchor="_Toc202867721" w:history="1">
        <w:r w:rsidR="00D273B4" w:rsidRPr="00D273B4">
          <w:rPr>
            <w:rStyle w:val="Hipervnculo"/>
            <w:rFonts w:ascii="Arial" w:hAnsi="Arial" w:cs="Arial"/>
            <w:b w:val="0"/>
            <w:bCs w:val="0"/>
            <w:i w:val="0"/>
            <w:iCs w:val="0"/>
            <w:noProof/>
            <w:color w:val="auto"/>
            <w:sz w:val="20"/>
            <w:szCs w:val="20"/>
          </w:rPr>
          <w:t>OTRAS ACTIVIDADES:</w:t>
        </w:r>
        <w:r w:rsidR="00D273B4" w:rsidRPr="00D273B4">
          <w:rPr>
            <w:rFonts w:ascii="Arial" w:hAnsi="Arial" w:cs="Arial"/>
            <w:b w:val="0"/>
            <w:bCs w:val="0"/>
            <w:i w:val="0"/>
            <w:iCs w:val="0"/>
            <w:noProof/>
            <w:webHidden/>
            <w:sz w:val="20"/>
            <w:szCs w:val="20"/>
          </w:rPr>
          <w:tab/>
        </w:r>
        <w:r w:rsidR="00D273B4" w:rsidRPr="00D273B4">
          <w:rPr>
            <w:rFonts w:ascii="Arial" w:hAnsi="Arial" w:cs="Arial"/>
            <w:b w:val="0"/>
            <w:bCs w:val="0"/>
            <w:i w:val="0"/>
            <w:iCs w:val="0"/>
            <w:noProof/>
            <w:webHidden/>
            <w:sz w:val="20"/>
            <w:szCs w:val="20"/>
          </w:rPr>
          <w:fldChar w:fldCharType="begin"/>
        </w:r>
        <w:r w:rsidR="00D273B4" w:rsidRPr="00D273B4">
          <w:rPr>
            <w:rFonts w:ascii="Arial" w:hAnsi="Arial" w:cs="Arial"/>
            <w:b w:val="0"/>
            <w:bCs w:val="0"/>
            <w:i w:val="0"/>
            <w:iCs w:val="0"/>
            <w:noProof/>
            <w:webHidden/>
            <w:sz w:val="20"/>
            <w:szCs w:val="20"/>
          </w:rPr>
          <w:instrText xml:space="preserve"> PAGEREF _Toc202867721 \h </w:instrText>
        </w:r>
        <w:r w:rsidR="00D273B4" w:rsidRPr="00D273B4">
          <w:rPr>
            <w:rFonts w:ascii="Arial" w:hAnsi="Arial" w:cs="Arial"/>
            <w:b w:val="0"/>
            <w:bCs w:val="0"/>
            <w:i w:val="0"/>
            <w:iCs w:val="0"/>
            <w:noProof/>
            <w:webHidden/>
            <w:sz w:val="20"/>
            <w:szCs w:val="20"/>
          </w:rPr>
        </w:r>
        <w:r w:rsidR="00D273B4" w:rsidRPr="00D273B4">
          <w:rPr>
            <w:rFonts w:ascii="Arial" w:hAnsi="Arial" w:cs="Arial"/>
            <w:b w:val="0"/>
            <w:bCs w:val="0"/>
            <w:i w:val="0"/>
            <w:iCs w:val="0"/>
            <w:noProof/>
            <w:webHidden/>
            <w:sz w:val="20"/>
            <w:szCs w:val="20"/>
          </w:rPr>
          <w:fldChar w:fldCharType="separate"/>
        </w:r>
        <w:r w:rsidR="00183961">
          <w:rPr>
            <w:rFonts w:ascii="Arial" w:hAnsi="Arial" w:cs="Arial"/>
            <w:b w:val="0"/>
            <w:bCs w:val="0"/>
            <w:i w:val="0"/>
            <w:iCs w:val="0"/>
            <w:noProof/>
            <w:webHidden/>
            <w:sz w:val="20"/>
            <w:szCs w:val="20"/>
          </w:rPr>
          <w:t>10</w:t>
        </w:r>
        <w:r w:rsidR="00D273B4" w:rsidRPr="00D273B4">
          <w:rPr>
            <w:rFonts w:ascii="Arial" w:hAnsi="Arial" w:cs="Arial"/>
            <w:b w:val="0"/>
            <w:bCs w:val="0"/>
            <w:i w:val="0"/>
            <w:iCs w:val="0"/>
            <w:noProof/>
            <w:webHidden/>
            <w:sz w:val="20"/>
            <w:szCs w:val="20"/>
          </w:rPr>
          <w:fldChar w:fldCharType="end"/>
        </w:r>
      </w:hyperlink>
    </w:p>
    <w:p w14:paraId="4A0488B7" w14:textId="2462CB7D" w:rsidR="00D273B4" w:rsidRPr="00D273B4" w:rsidRDefault="00000000" w:rsidP="00D273B4">
      <w:pPr>
        <w:pStyle w:val="TDC1"/>
        <w:tabs>
          <w:tab w:val="right" w:leader="underscore" w:pos="9962"/>
        </w:tabs>
        <w:spacing w:line="360" w:lineRule="auto"/>
        <w:rPr>
          <w:rFonts w:ascii="Arial" w:eastAsiaTheme="minorEastAsia" w:hAnsi="Arial" w:cs="Arial"/>
          <w:b w:val="0"/>
          <w:bCs w:val="0"/>
          <w:i w:val="0"/>
          <w:iCs w:val="0"/>
          <w:noProof/>
          <w:sz w:val="20"/>
          <w:szCs w:val="20"/>
          <w:lang w:val="es-CL" w:eastAsia="es-MX"/>
        </w:rPr>
      </w:pPr>
      <w:hyperlink w:anchor="_Toc202867722" w:history="1">
        <w:r w:rsidR="00D273B4" w:rsidRPr="00D273B4">
          <w:rPr>
            <w:rStyle w:val="Hipervnculo"/>
            <w:rFonts w:ascii="Arial" w:hAnsi="Arial" w:cs="Arial"/>
            <w:b w:val="0"/>
            <w:bCs w:val="0"/>
            <w:i w:val="0"/>
            <w:iCs w:val="0"/>
            <w:noProof/>
            <w:color w:val="auto"/>
            <w:sz w:val="20"/>
            <w:szCs w:val="20"/>
          </w:rPr>
          <w:t>CONCLUSIONES:</w:t>
        </w:r>
        <w:r w:rsidR="00D273B4" w:rsidRPr="00D273B4">
          <w:rPr>
            <w:rFonts w:ascii="Arial" w:hAnsi="Arial" w:cs="Arial"/>
            <w:b w:val="0"/>
            <w:bCs w:val="0"/>
            <w:i w:val="0"/>
            <w:iCs w:val="0"/>
            <w:noProof/>
            <w:webHidden/>
            <w:sz w:val="20"/>
            <w:szCs w:val="20"/>
          </w:rPr>
          <w:tab/>
        </w:r>
        <w:r w:rsidR="00D273B4" w:rsidRPr="00D273B4">
          <w:rPr>
            <w:rFonts w:ascii="Arial" w:hAnsi="Arial" w:cs="Arial"/>
            <w:b w:val="0"/>
            <w:bCs w:val="0"/>
            <w:i w:val="0"/>
            <w:iCs w:val="0"/>
            <w:noProof/>
            <w:webHidden/>
            <w:sz w:val="20"/>
            <w:szCs w:val="20"/>
          </w:rPr>
          <w:fldChar w:fldCharType="begin"/>
        </w:r>
        <w:r w:rsidR="00D273B4" w:rsidRPr="00D273B4">
          <w:rPr>
            <w:rFonts w:ascii="Arial" w:hAnsi="Arial" w:cs="Arial"/>
            <w:b w:val="0"/>
            <w:bCs w:val="0"/>
            <w:i w:val="0"/>
            <w:iCs w:val="0"/>
            <w:noProof/>
            <w:webHidden/>
            <w:sz w:val="20"/>
            <w:szCs w:val="20"/>
          </w:rPr>
          <w:instrText xml:space="preserve"> PAGEREF _Toc202867722 \h </w:instrText>
        </w:r>
        <w:r w:rsidR="00D273B4" w:rsidRPr="00D273B4">
          <w:rPr>
            <w:rFonts w:ascii="Arial" w:hAnsi="Arial" w:cs="Arial"/>
            <w:b w:val="0"/>
            <w:bCs w:val="0"/>
            <w:i w:val="0"/>
            <w:iCs w:val="0"/>
            <w:noProof/>
            <w:webHidden/>
            <w:sz w:val="20"/>
            <w:szCs w:val="20"/>
          </w:rPr>
        </w:r>
        <w:r w:rsidR="00D273B4" w:rsidRPr="00D273B4">
          <w:rPr>
            <w:rFonts w:ascii="Arial" w:hAnsi="Arial" w:cs="Arial"/>
            <w:b w:val="0"/>
            <w:bCs w:val="0"/>
            <w:i w:val="0"/>
            <w:iCs w:val="0"/>
            <w:noProof/>
            <w:webHidden/>
            <w:sz w:val="20"/>
            <w:szCs w:val="20"/>
          </w:rPr>
          <w:fldChar w:fldCharType="separate"/>
        </w:r>
        <w:r w:rsidR="00183961">
          <w:rPr>
            <w:rFonts w:ascii="Arial" w:hAnsi="Arial" w:cs="Arial"/>
            <w:b w:val="0"/>
            <w:bCs w:val="0"/>
            <w:i w:val="0"/>
            <w:iCs w:val="0"/>
            <w:noProof/>
            <w:webHidden/>
            <w:sz w:val="20"/>
            <w:szCs w:val="20"/>
          </w:rPr>
          <w:t>11</w:t>
        </w:r>
        <w:r w:rsidR="00D273B4" w:rsidRPr="00D273B4">
          <w:rPr>
            <w:rFonts w:ascii="Arial" w:hAnsi="Arial" w:cs="Arial"/>
            <w:b w:val="0"/>
            <w:bCs w:val="0"/>
            <w:i w:val="0"/>
            <w:iCs w:val="0"/>
            <w:noProof/>
            <w:webHidden/>
            <w:sz w:val="20"/>
            <w:szCs w:val="20"/>
          </w:rPr>
          <w:fldChar w:fldCharType="end"/>
        </w:r>
      </w:hyperlink>
    </w:p>
    <w:p w14:paraId="25D4469B" w14:textId="2AFDB105" w:rsidR="002C1697" w:rsidRPr="00D273B4" w:rsidRDefault="00D273B4" w:rsidP="00D273B4">
      <w:pPr>
        <w:rPr>
          <w:lang w:val="es-ES"/>
        </w:rPr>
      </w:pPr>
      <w:r w:rsidRPr="00D273B4">
        <w:rPr>
          <w:rFonts w:ascii="Arial" w:hAnsi="Arial" w:cs="Arial"/>
          <w:sz w:val="20"/>
          <w:szCs w:val="20"/>
          <w:lang w:val="es-ES"/>
        </w:rPr>
        <w:fldChar w:fldCharType="end"/>
      </w:r>
    </w:p>
    <w:p w14:paraId="741204EB" w14:textId="77777777" w:rsidR="002C1697" w:rsidRDefault="002C1697" w:rsidP="00D273B4">
      <w:pPr>
        <w:rPr>
          <w:lang w:val="es-ES"/>
        </w:rPr>
      </w:pPr>
    </w:p>
    <w:p w14:paraId="0D7CE881" w14:textId="77777777" w:rsidR="002C1697" w:rsidRDefault="002C1697" w:rsidP="00D273B4">
      <w:pPr>
        <w:rPr>
          <w:lang w:val="es-ES"/>
        </w:rPr>
      </w:pPr>
    </w:p>
    <w:p w14:paraId="1B2A8398" w14:textId="77777777" w:rsidR="002C1697" w:rsidRDefault="002C1697" w:rsidP="00D273B4">
      <w:pPr>
        <w:rPr>
          <w:lang w:val="es-ES"/>
        </w:rPr>
      </w:pPr>
    </w:p>
    <w:p w14:paraId="2C94FA73" w14:textId="0BF04242" w:rsidR="002C1697" w:rsidRPr="002C1697" w:rsidRDefault="002C1697" w:rsidP="002C1697">
      <w:pPr>
        <w:pStyle w:val="Ttulo1"/>
        <w:numPr>
          <w:ilvl w:val="0"/>
          <w:numId w:val="0"/>
        </w:numPr>
        <w:ind w:left="720" w:hanging="360"/>
        <w:rPr>
          <w:rFonts w:eastAsia="Calibri"/>
          <w:b/>
          <w:bCs/>
          <w:color w:val="0F4761" w:themeColor="accent1" w:themeShade="BF"/>
          <w:lang w:val="es-ES"/>
        </w:rPr>
      </w:pPr>
      <w:r w:rsidRPr="002C1697">
        <w:rPr>
          <w:rFonts w:eastAsia="Calibri"/>
          <w:b/>
          <w:bCs/>
          <w:lang w:val="es-ES"/>
        </w:rPr>
        <w:br w:type="page"/>
      </w:r>
    </w:p>
    <w:p w14:paraId="41FEB31B" w14:textId="3DFE9DAC" w:rsidR="005B537B" w:rsidRPr="002C1697" w:rsidRDefault="002C1697" w:rsidP="002C1697">
      <w:pPr>
        <w:pStyle w:val="Ttulo1"/>
        <w:numPr>
          <w:ilvl w:val="0"/>
          <w:numId w:val="0"/>
        </w:numPr>
        <w:ind w:left="720"/>
        <w:rPr>
          <w:rFonts w:eastAsia="Calibri"/>
          <w:b/>
          <w:bCs/>
          <w:lang w:val="es-ES"/>
        </w:rPr>
      </w:pPr>
      <w:bookmarkStart w:id="1" w:name="_Toc202867714"/>
      <w:r w:rsidRPr="002C1697">
        <w:rPr>
          <w:rFonts w:eastAsia="Calibri"/>
          <w:b/>
          <w:bCs/>
          <w:lang w:val="es-ES"/>
        </w:rPr>
        <w:lastRenderedPageBreak/>
        <w:t>PROGRAMA:</w:t>
      </w:r>
      <w:bookmarkEnd w:id="1"/>
    </w:p>
    <w:p w14:paraId="4CEE1A73" w14:textId="77777777" w:rsidR="00E04896" w:rsidRDefault="00E04896" w:rsidP="00E04896">
      <w:pPr>
        <w:tabs>
          <w:tab w:val="left" w:pos="708"/>
          <w:tab w:val="center" w:pos="4419"/>
          <w:tab w:val="right" w:pos="8838"/>
        </w:tabs>
        <w:spacing w:after="0" w:line="276" w:lineRule="auto"/>
        <w:contextualSpacing/>
        <w:rPr>
          <w:rFonts w:ascii="Arial" w:eastAsia="Calibri" w:hAnsi="Arial" w:cs="Arial"/>
          <w:b/>
          <w:bCs/>
          <w:color w:val="2F5496"/>
          <w:kern w:val="0"/>
          <w:sz w:val="20"/>
          <w:szCs w:val="20"/>
          <w:lang w:val="es-ES"/>
          <w14:ligatures w14:val="none"/>
        </w:rPr>
      </w:pPr>
    </w:p>
    <w:tbl>
      <w:tblPr>
        <w:tblStyle w:val="Tablaconcuadrcula1clara-nfasis1"/>
        <w:tblW w:w="0" w:type="auto"/>
        <w:tblLook w:val="04A0" w:firstRow="1" w:lastRow="0" w:firstColumn="1" w:lastColumn="0" w:noHBand="0" w:noVBand="1"/>
      </w:tblPr>
      <w:tblGrid>
        <w:gridCol w:w="9962"/>
      </w:tblGrid>
      <w:tr w:rsidR="00E04896" w:rsidRPr="00E04896" w14:paraId="7571F614" w14:textId="77777777" w:rsidTr="00E04896">
        <w:trPr>
          <w:cnfStyle w:val="100000000000" w:firstRow="1" w:lastRow="0" w:firstColumn="0" w:lastColumn="0" w:oddVBand="0" w:evenVBand="0" w:oddHBand="0" w:evenHBand="0" w:firstRowFirstColumn="0" w:firstRowLastColumn="0" w:lastRowFirstColumn="0" w:lastRowLastColumn="0"/>
          <w:trHeight w:val="1901"/>
        </w:trPr>
        <w:tc>
          <w:tcPr>
            <w:cnfStyle w:val="001000000000" w:firstRow="0" w:lastRow="0" w:firstColumn="1" w:lastColumn="0" w:oddVBand="0" w:evenVBand="0" w:oddHBand="0" w:evenHBand="0" w:firstRowFirstColumn="0" w:firstRowLastColumn="0" w:lastRowFirstColumn="0" w:lastRowLastColumn="0"/>
            <w:tcW w:w="9962" w:type="dxa"/>
          </w:tcPr>
          <w:p w14:paraId="3C0AC132" w14:textId="77777777" w:rsidR="00E04896" w:rsidRPr="00A82FEA" w:rsidRDefault="00E04896" w:rsidP="00457085">
            <w:pPr>
              <w:tabs>
                <w:tab w:val="left" w:pos="708"/>
                <w:tab w:val="center" w:pos="4419"/>
                <w:tab w:val="right" w:pos="8838"/>
              </w:tabs>
              <w:spacing w:line="276" w:lineRule="auto"/>
              <w:contextualSpacing/>
              <w:rPr>
                <w:rFonts w:ascii="Arial" w:eastAsia="Calibri" w:hAnsi="Arial" w:cs="Arial"/>
                <w:color w:val="2F5496"/>
                <w:kern w:val="0"/>
                <w:sz w:val="20"/>
                <w:szCs w:val="20"/>
                <w:lang w:val="es-ES"/>
                <w14:ligatures w14:val="none"/>
              </w:rPr>
            </w:pPr>
            <w:r w:rsidRPr="00A82FEA">
              <w:rPr>
                <w:rFonts w:ascii="Arial" w:eastAsia="Calibri" w:hAnsi="Arial" w:cs="Arial"/>
                <w:color w:val="2F5496"/>
                <w:kern w:val="0"/>
                <w:sz w:val="20"/>
                <w:szCs w:val="20"/>
                <w:lang w:val="es-ES"/>
                <w14:ligatures w14:val="none"/>
              </w:rPr>
              <w:t>Día 1</w:t>
            </w:r>
          </w:p>
          <w:p w14:paraId="03A27E13" w14:textId="77777777" w:rsidR="00E04896" w:rsidRPr="00A82FEA" w:rsidRDefault="00E04896" w:rsidP="00457085">
            <w:pPr>
              <w:tabs>
                <w:tab w:val="left" w:pos="708"/>
                <w:tab w:val="center" w:pos="4419"/>
                <w:tab w:val="right" w:pos="8838"/>
              </w:tabs>
              <w:spacing w:line="276" w:lineRule="auto"/>
              <w:contextualSpacing/>
              <w:rPr>
                <w:rFonts w:ascii="Arial" w:eastAsia="Calibri" w:hAnsi="Arial" w:cs="Arial"/>
                <w:color w:val="2F5496"/>
                <w:kern w:val="0"/>
                <w:sz w:val="20"/>
                <w:szCs w:val="20"/>
                <w:lang w:val="es-ES"/>
                <w14:ligatures w14:val="none"/>
              </w:rPr>
            </w:pPr>
            <w:r w:rsidRPr="00A82FEA">
              <w:rPr>
                <w:rFonts w:ascii="Arial" w:eastAsia="Calibri" w:hAnsi="Arial" w:cs="Arial"/>
                <w:color w:val="2F5496"/>
                <w:kern w:val="0"/>
                <w:sz w:val="20"/>
                <w:szCs w:val="20"/>
                <w:lang w:val="es-ES"/>
                <w14:ligatures w14:val="none"/>
              </w:rPr>
              <w:t>Lunes 23 de Junio</w:t>
            </w:r>
          </w:p>
          <w:p w14:paraId="0BCB4964" w14:textId="6B17735C" w:rsidR="00E04896" w:rsidRPr="00E04896" w:rsidRDefault="00E04896" w:rsidP="00457085">
            <w:pPr>
              <w:pStyle w:val="Prrafodelista"/>
              <w:numPr>
                <w:ilvl w:val="0"/>
                <w:numId w:val="9"/>
              </w:numPr>
              <w:tabs>
                <w:tab w:val="left" w:pos="708"/>
                <w:tab w:val="center" w:pos="4419"/>
                <w:tab w:val="right" w:pos="8838"/>
              </w:tabs>
              <w:spacing w:line="276" w:lineRule="auto"/>
              <w:rPr>
                <w:rFonts w:ascii="Arial" w:eastAsia="Calibri" w:hAnsi="Arial" w:cs="Arial"/>
                <w:b w:val="0"/>
                <w:bCs w:val="0"/>
                <w:kern w:val="0"/>
                <w:sz w:val="20"/>
                <w:szCs w:val="20"/>
                <w:lang w:val="es-ES"/>
                <w14:ligatures w14:val="none"/>
              </w:rPr>
            </w:pPr>
            <w:r w:rsidRPr="00E04896">
              <w:rPr>
                <w:rFonts w:ascii="Arial" w:eastAsia="Calibri" w:hAnsi="Arial" w:cs="Arial"/>
                <w:b w:val="0"/>
                <w:bCs w:val="0"/>
                <w:kern w:val="0"/>
                <w:sz w:val="20"/>
                <w:szCs w:val="20"/>
                <w:lang w:val="es-ES"/>
                <w14:ligatures w14:val="none"/>
              </w:rPr>
              <w:t>10:30 – 11:30</w:t>
            </w:r>
            <w:r w:rsidRPr="00E04896">
              <w:rPr>
                <w:rFonts w:ascii="Arial" w:eastAsia="Calibri" w:hAnsi="Arial" w:cs="Arial"/>
                <w:b w:val="0"/>
                <w:bCs w:val="0"/>
                <w:kern w:val="0"/>
                <w:sz w:val="20"/>
                <w:szCs w:val="20"/>
                <w:lang w:val="es-ES"/>
                <w14:ligatures w14:val="none"/>
              </w:rPr>
              <w:tab/>
              <w:t xml:space="preserve"> Reunión con el Rector de la Universidad del Ártico </w:t>
            </w:r>
            <w:proofErr w:type="spellStart"/>
            <w:r w:rsidRPr="00E04896">
              <w:rPr>
                <w:rFonts w:ascii="Arial" w:eastAsia="Calibri" w:hAnsi="Arial" w:cs="Arial"/>
                <w:b w:val="0"/>
                <w:bCs w:val="0"/>
                <w:kern w:val="0"/>
                <w:sz w:val="20"/>
                <w:szCs w:val="20"/>
                <w:lang w:val="es-ES"/>
                <w14:ligatures w14:val="none"/>
              </w:rPr>
              <w:t>UiT</w:t>
            </w:r>
            <w:proofErr w:type="spellEnd"/>
            <w:r w:rsidRPr="00E04896">
              <w:rPr>
                <w:rFonts w:ascii="Arial" w:eastAsia="Calibri" w:hAnsi="Arial" w:cs="Arial"/>
                <w:b w:val="0"/>
                <w:bCs w:val="0"/>
                <w:kern w:val="0"/>
                <w:sz w:val="20"/>
                <w:szCs w:val="20"/>
                <w:lang w:val="es-ES"/>
                <w14:ligatures w14:val="none"/>
              </w:rPr>
              <w:t xml:space="preserve">: </w:t>
            </w:r>
            <w:proofErr w:type="spellStart"/>
            <w:r w:rsidR="0073259F" w:rsidRPr="0073259F">
              <w:rPr>
                <w:rFonts w:ascii="Arial" w:eastAsia="Calibri" w:hAnsi="Arial" w:cs="Arial"/>
                <w:b w:val="0"/>
                <w:bCs w:val="0"/>
                <w:kern w:val="0"/>
                <w:sz w:val="20"/>
                <w:szCs w:val="20"/>
                <w:lang w:val="es-ES"/>
                <w14:ligatures w14:val="none"/>
              </w:rPr>
              <w:t>Dag</w:t>
            </w:r>
            <w:proofErr w:type="spellEnd"/>
            <w:r w:rsidR="0073259F" w:rsidRPr="0073259F">
              <w:rPr>
                <w:rFonts w:ascii="Arial" w:eastAsia="Calibri" w:hAnsi="Arial" w:cs="Arial"/>
                <w:b w:val="0"/>
                <w:bCs w:val="0"/>
                <w:kern w:val="0"/>
                <w:sz w:val="20"/>
                <w:szCs w:val="20"/>
                <w:lang w:val="es-ES"/>
                <w14:ligatures w14:val="none"/>
              </w:rPr>
              <w:t xml:space="preserve"> Rune Olsen</w:t>
            </w:r>
          </w:p>
          <w:p w14:paraId="10CB346F" w14:textId="10A09CA1" w:rsidR="00E04896" w:rsidRPr="00E04896" w:rsidRDefault="00E04896" w:rsidP="00457085">
            <w:pPr>
              <w:pStyle w:val="Prrafodelista"/>
              <w:tabs>
                <w:tab w:val="left" w:pos="708"/>
                <w:tab w:val="center" w:pos="4419"/>
                <w:tab w:val="right" w:pos="8838"/>
              </w:tabs>
              <w:spacing w:line="276" w:lineRule="auto"/>
              <w:ind w:left="0"/>
              <w:rPr>
                <w:rFonts w:ascii="Arial" w:eastAsia="Calibri" w:hAnsi="Arial" w:cs="Arial"/>
                <w:b w:val="0"/>
                <w:bCs w:val="0"/>
                <w:kern w:val="0"/>
                <w:sz w:val="20"/>
                <w:szCs w:val="20"/>
                <w:lang w:val="es-ES"/>
                <w14:ligatures w14:val="none"/>
              </w:rPr>
            </w:pPr>
            <w:r>
              <w:rPr>
                <w:rFonts w:ascii="Arial" w:eastAsia="Calibri" w:hAnsi="Arial" w:cs="Arial"/>
                <w:b w:val="0"/>
                <w:bCs w:val="0"/>
                <w:kern w:val="0"/>
                <w:sz w:val="20"/>
                <w:szCs w:val="20"/>
                <w:lang w:val="es-ES"/>
                <w14:ligatures w14:val="none"/>
              </w:rPr>
              <w:t xml:space="preserve">             </w:t>
            </w:r>
            <w:r w:rsidRPr="00E04896">
              <w:rPr>
                <w:rFonts w:ascii="Arial" w:eastAsia="Calibri" w:hAnsi="Arial" w:cs="Arial"/>
                <w:b w:val="0"/>
                <w:bCs w:val="0"/>
                <w:kern w:val="0"/>
                <w:sz w:val="20"/>
                <w:szCs w:val="20"/>
                <w:lang w:val="es-ES"/>
                <w14:ligatures w14:val="none"/>
              </w:rPr>
              <w:t xml:space="preserve">Campus </w:t>
            </w:r>
            <w:proofErr w:type="spellStart"/>
            <w:r w:rsidRPr="00E04896">
              <w:rPr>
                <w:rFonts w:ascii="Arial" w:eastAsia="Calibri" w:hAnsi="Arial" w:cs="Arial"/>
                <w:b w:val="0"/>
                <w:bCs w:val="0"/>
                <w:kern w:val="0"/>
                <w:sz w:val="20"/>
                <w:szCs w:val="20"/>
                <w:lang w:val="es-ES"/>
                <w14:ligatures w14:val="none"/>
              </w:rPr>
              <w:t>Breivika</w:t>
            </w:r>
            <w:proofErr w:type="spellEnd"/>
          </w:p>
          <w:p w14:paraId="6B71525F" w14:textId="0D9205AD" w:rsidR="00E04896" w:rsidRPr="0073259F" w:rsidRDefault="00E04896" w:rsidP="0073259F">
            <w:pPr>
              <w:pStyle w:val="Prrafodelista"/>
              <w:numPr>
                <w:ilvl w:val="0"/>
                <w:numId w:val="9"/>
              </w:numPr>
              <w:tabs>
                <w:tab w:val="left" w:pos="708"/>
                <w:tab w:val="center" w:pos="4419"/>
                <w:tab w:val="right" w:pos="8838"/>
              </w:tabs>
              <w:spacing w:line="276" w:lineRule="auto"/>
              <w:rPr>
                <w:rFonts w:ascii="Arial" w:eastAsia="Calibri" w:hAnsi="Arial" w:cs="Arial"/>
                <w:b w:val="0"/>
                <w:bCs w:val="0"/>
                <w:kern w:val="0"/>
                <w:sz w:val="20"/>
                <w:szCs w:val="20"/>
                <w:lang w:val="es-ES"/>
                <w14:ligatures w14:val="none"/>
              </w:rPr>
            </w:pPr>
            <w:r w:rsidRPr="00E04896">
              <w:rPr>
                <w:rFonts w:ascii="Arial" w:eastAsia="Calibri" w:hAnsi="Arial" w:cs="Arial"/>
                <w:b w:val="0"/>
                <w:bCs w:val="0"/>
                <w:kern w:val="0"/>
                <w:sz w:val="20"/>
                <w:szCs w:val="20"/>
                <w:lang w:val="es-ES"/>
                <w14:ligatures w14:val="none"/>
              </w:rPr>
              <w:t>12:30 – 14:30 Reunión con el Departamento de Medicina Comunitaria Profesor de Salud Global y Epidemiología</w:t>
            </w:r>
            <w:r w:rsidR="008E5311">
              <w:rPr>
                <w:rFonts w:ascii="Arial" w:eastAsia="Calibri" w:hAnsi="Arial" w:cs="Arial"/>
                <w:b w:val="0"/>
                <w:bCs w:val="0"/>
                <w:kern w:val="0"/>
                <w:sz w:val="20"/>
                <w:szCs w:val="20"/>
                <w:lang w:val="es-ES"/>
                <w14:ligatures w14:val="none"/>
              </w:rPr>
              <w:t>:</w:t>
            </w:r>
            <w:r w:rsidRPr="00E04896">
              <w:rPr>
                <w:rFonts w:ascii="Arial" w:eastAsia="Calibri" w:hAnsi="Arial" w:cs="Arial"/>
                <w:b w:val="0"/>
                <w:bCs w:val="0"/>
                <w:kern w:val="0"/>
                <w:sz w:val="20"/>
                <w:szCs w:val="20"/>
                <w:lang w:val="es-ES"/>
                <w14:ligatures w14:val="none"/>
              </w:rPr>
              <w:t xml:space="preserve"> Erik </w:t>
            </w:r>
            <w:proofErr w:type="spellStart"/>
            <w:r w:rsidRPr="00E04896">
              <w:rPr>
                <w:rFonts w:ascii="Arial" w:eastAsia="Calibri" w:hAnsi="Arial" w:cs="Arial"/>
                <w:b w:val="0"/>
                <w:bCs w:val="0"/>
                <w:kern w:val="0"/>
                <w:sz w:val="20"/>
                <w:szCs w:val="20"/>
                <w:lang w:val="es-ES"/>
                <w14:ligatures w14:val="none"/>
              </w:rPr>
              <w:t>Eik</w:t>
            </w:r>
            <w:proofErr w:type="spellEnd"/>
            <w:r w:rsidRPr="00E04896">
              <w:rPr>
                <w:rFonts w:ascii="Arial" w:eastAsia="Calibri" w:hAnsi="Arial" w:cs="Arial"/>
                <w:b w:val="0"/>
                <w:bCs w:val="0"/>
                <w:kern w:val="0"/>
                <w:sz w:val="20"/>
                <w:szCs w:val="20"/>
                <w:lang w:val="es-ES"/>
                <w14:ligatures w14:val="none"/>
              </w:rPr>
              <w:t xml:space="preserve"> Anda de la Universidad del Ártico </w:t>
            </w:r>
            <w:proofErr w:type="spellStart"/>
            <w:r w:rsidRPr="00E04896">
              <w:rPr>
                <w:rFonts w:ascii="Arial" w:eastAsia="Calibri" w:hAnsi="Arial" w:cs="Arial"/>
                <w:b w:val="0"/>
                <w:bCs w:val="0"/>
                <w:kern w:val="0"/>
                <w:sz w:val="20"/>
                <w:szCs w:val="20"/>
                <w:lang w:val="es-ES"/>
                <w14:ligatures w14:val="none"/>
              </w:rPr>
              <w:t>UiT</w:t>
            </w:r>
            <w:proofErr w:type="spellEnd"/>
            <w:r w:rsidR="0073259F">
              <w:rPr>
                <w:rFonts w:ascii="Arial" w:eastAsia="Calibri" w:hAnsi="Arial" w:cs="Arial"/>
                <w:b w:val="0"/>
                <w:bCs w:val="0"/>
                <w:kern w:val="0"/>
                <w:sz w:val="20"/>
                <w:szCs w:val="20"/>
                <w:lang w:val="es-ES"/>
                <w14:ligatures w14:val="none"/>
              </w:rPr>
              <w:t xml:space="preserve">, </w:t>
            </w:r>
            <w:r w:rsidRPr="0073259F">
              <w:rPr>
                <w:rFonts w:ascii="Arial" w:eastAsia="Calibri" w:hAnsi="Arial" w:cs="Arial"/>
                <w:b w:val="0"/>
                <w:bCs w:val="0"/>
                <w:kern w:val="0"/>
                <w:sz w:val="20"/>
                <w:szCs w:val="20"/>
                <w:lang w:val="es-ES"/>
                <w14:ligatures w14:val="none"/>
              </w:rPr>
              <w:t xml:space="preserve">Campus </w:t>
            </w:r>
            <w:proofErr w:type="spellStart"/>
            <w:r w:rsidRPr="0073259F">
              <w:rPr>
                <w:rFonts w:ascii="Arial" w:eastAsia="Calibri" w:hAnsi="Arial" w:cs="Arial"/>
                <w:b w:val="0"/>
                <w:bCs w:val="0"/>
                <w:kern w:val="0"/>
                <w:sz w:val="20"/>
                <w:szCs w:val="20"/>
                <w:lang w:val="es-ES"/>
                <w14:ligatures w14:val="none"/>
              </w:rPr>
              <w:t>Breivika</w:t>
            </w:r>
            <w:proofErr w:type="spellEnd"/>
          </w:p>
        </w:tc>
      </w:tr>
      <w:tr w:rsidR="00E04896" w:rsidRPr="00E04896" w14:paraId="5F7ACDCF" w14:textId="77777777" w:rsidTr="00E04896">
        <w:trPr>
          <w:trHeight w:val="1901"/>
        </w:trPr>
        <w:tc>
          <w:tcPr>
            <w:cnfStyle w:val="001000000000" w:firstRow="0" w:lastRow="0" w:firstColumn="1" w:lastColumn="0" w:oddVBand="0" w:evenVBand="0" w:oddHBand="0" w:evenHBand="0" w:firstRowFirstColumn="0" w:firstRowLastColumn="0" w:lastRowFirstColumn="0" w:lastRowLastColumn="0"/>
            <w:tcW w:w="9962" w:type="dxa"/>
          </w:tcPr>
          <w:p w14:paraId="62DB9ED4" w14:textId="54A6C804" w:rsidR="00A82FEA" w:rsidRPr="00A82FEA" w:rsidRDefault="00A82FEA" w:rsidP="00A82FEA">
            <w:pPr>
              <w:tabs>
                <w:tab w:val="left" w:pos="708"/>
                <w:tab w:val="center" w:pos="4419"/>
                <w:tab w:val="right" w:pos="8838"/>
              </w:tabs>
              <w:spacing w:line="276" w:lineRule="auto"/>
              <w:contextualSpacing/>
              <w:rPr>
                <w:rFonts w:ascii="Arial" w:eastAsia="Calibri" w:hAnsi="Arial" w:cs="Arial"/>
                <w:color w:val="2F5496"/>
                <w:kern w:val="0"/>
                <w:sz w:val="20"/>
                <w:szCs w:val="20"/>
                <w:lang w:val="es-ES"/>
                <w14:ligatures w14:val="none"/>
              </w:rPr>
            </w:pPr>
            <w:r w:rsidRPr="00A82FEA">
              <w:rPr>
                <w:rFonts w:ascii="Arial" w:eastAsia="Calibri" w:hAnsi="Arial" w:cs="Arial"/>
                <w:color w:val="2F5496"/>
                <w:kern w:val="0"/>
                <w:sz w:val="20"/>
                <w:szCs w:val="20"/>
                <w:lang w:val="es-ES"/>
                <w14:ligatures w14:val="none"/>
              </w:rPr>
              <w:t xml:space="preserve">Día </w:t>
            </w:r>
            <w:r>
              <w:rPr>
                <w:rFonts w:ascii="Arial" w:eastAsia="Calibri" w:hAnsi="Arial" w:cs="Arial"/>
                <w:color w:val="2F5496"/>
                <w:kern w:val="0"/>
                <w:sz w:val="20"/>
                <w:szCs w:val="20"/>
                <w:lang w:val="es-ES"/>
                <w14:ligatures w14:val="none"/>
              </w:rPr>
              <w:t>2</w:t>
            </w:r>
          </w:p>
          <w:p w14:paraId="1E6912B8" w14:textId="45334533" w:rsidR="00A82FEA" w:rsidRPr="00A82FEA" w:rsidRDefault="00A82FEA" w:rsidP="00A82FEA">
            <w:pPr>
              <w:tabs>
                <w:tab w:val="left" w:pos="708"/>
                <w:tab w:val="center" w:pos="4419"/>
                <w:tab w:val="right" w:pos="8838"/>
              </w:tabs>
              <w:spacing w:line="276" w:lineRule="auto"/>
              <w:contextualSpacing/>
              <w:rPr>
                <w:rFonts w:ascii="Arial" w:eastAsia="Calibri" w:hAnsi="Arial" w:cs="Arial"/>
                <w:color w:val="2F5496"/>
                <w:kern w:val="0"/>
                <w:sz w:val="20"/>
                <w:szCs w:val="20"/>
                <w:lang w:val="es-ES"/>
                <w14:ligatures w14:val="none"/>
              </w:rPr>
            </w:pPr>
            <w:r>
              <w:rPr>
                <w:rFonts w:ascii="Arial" w:eastAsia="Calibri" w:hAnsi="Arial" w:cs="Arial"/>
                <w:color w:val="2F5496"/>
                <w:kern w:val="0"/>
                <w:sz w:val="20"/>
                <w:szCs w:val="20"/>
                <w:lang w:val="es-ES"/>
                <w14:ligatures w14:val="none"/>
              </w:rPr>
              <w:t>Martes</w:t>
            </w:r>
            <w:r w:rsidRPr="00A82FEA">
              <w:rPr>
                <w:rFonts w:ascii="Arial" w:eastAsia="Calibri" w:hAnsi="Arial" w:cs="Arial"/>
                <w:color w:val="2F5496"/>
                <w:kern w:val="0"/>
                <w:sz w:val="20"/>
                <w:szCs w:val="20"/>
                <w:lang w:val="es-ES"/>
                <w14:ligatures w14:val="none"/>
              </w:rPr>
              <w:t xml:space="preserve"> 2</w:t>
            </w:r>
            <w:r>
              <w:rPr>
                <w:rFonts w:ascii="Arial" w:eastAsia="Calibri" w:hAnsi="Arial" w:cs="Arial"/>
                <w:color w:val="2F5496"/>
                <w:kern w:val="0"/>
                <w:sz w:val="20"/>
                <w:szCs w:val="20"/>
                <w:lang w:val="es-ES"/>
                <w14:ligatures w14:val="none"/>
              </w:rPr>
              <w:t>4</w:t>
            </w:r>
            <w:r w:rsidRPr="00A82FEA">
              <w:rPr>
                <w:rFonts w:ascii="Arial" w:eastAsia="Calibri" w:hAnsi="Arial" w:cs="Arial"/>
                <w:color w:val="2F5496"/>
                <w:kern w:val="0"/>
                <w:sz w:val="20"/>
                <w:szCs w:val="20"/>
                <w:lang w:val="es-ES"/>
                <w14:ligatures w14:val="none"/>
              </w:rPr>
              <w:t xml:space="preserve"> de Junio</w:t>
            </w:r>
          </w:p>
          <w:p w14:paraId="56269198" w14:textId="66504432" w:rsidR="00A82FEA" w:rsidRPr="008E5311" w:rsidRDefault="008E5311" w:rsidP="008E5311">
            <w:pPr>
              <w:pStyle w:val="Prrafodelista"/>
              <w:numPr>
                <w:ilvl w:val="0"/>
                <w:numId w:val="9"/>
              </w:numPr>
              <w:tabs>
                <w:tab w:val="left" w:pos="708"/>
                <w:tab w:val="center" w:pos="4419"/>
                <w:tab w:val="right" w:pos="8838"/>
              </w:tabs>
              <w:spacing w:line="276" w:lineRule="auto"/>
              <w:rPr>
                <w:rFonts w:ascii="Arial" w:eastAsia="Calibri" w:hAnsi="Arial" w:cs="Arial"/>
                <w:b w:val="0"/>
                <w:bCs w:val="0"/>
                <w:kern w:val="0"/>
                <w:sz w:val="20"/>
                <w:szCs w:val="20"/>
                <w:lang w:val="es-ES"/>
                <w14:ligatures w14:val="none"/>
              </w:rPr>
            </w:pPr>
            <w:r>
              <w:rPr>
                <w:rFonts w:ascii="Arial" w:eastAsia="Calibri" w:hAnsi="Arial" w:cs="Arial"/>
                <w:b w:val="0"/>
                <w:bCs w:val="0"/>
                <w:kern w:val="0"/>
                <w:sz w:val="20"/>
                <w:szCs w:val="20"/>
                <w:lang w:val="es-ES"/>
                <w14:ligatures w14:val="none"/>
              </w:rPr>
              <w:t xml:space="preserve">09:00 – 10:30 </w:t>
            </w:r>
            <w:r w:rsidRPr="008E5311">
              <w:rPr>
                <w:rFonts w:ascii="Arial" w:eastAsia="Calibri" w:hAnsi="Arial" w:cs="Arial"/>
                <w:b w:val="0"/>
                <w:bCs w:val="0"/>
                <w:kern w:val="0"/>
                <w:sz w:val="20"/>
                <w:szCs w:val="20"/>
                <w:lang w:val="es-ES"/>
                <w14:ligatures w14:val="none"/>
              </w:rPr>
              <w:t xml:space="preserve">Reunión con el Centro de Estudios Sami Profesora de Estudios Indígenas de </w:t>
            </w:r>
            <w:proofErr w:type="spellStart"/>
            <w:r w:rsidRPr="008E5311">
              <w:rPr>
                <w:rFonts w:ascii="Arial" w:eastAsia="Calibri" w:hAnsi="Arial" w:cs="Arial"/>
                <w:b w:val="0"/>
                <w:bCs w:val="0"/>
                <w:kern w:val="0"/>
                <w:sz w:val="20"/>
                <w:szCs w:val="20"/>
                <w:lang w:val="es-ES"/>
                <w14:ligatures w14:val="none"/>
              </w:rPr>
              <w:t>Broderstad</w:t>
            </w:r>
            <w:proofErr w:type="spellEnd"/>
            <w:r w:rsidRPr="008E5311">
              <w:rPr>
                <w:rFonts w:ascii="Arial" w:eastAsia="Calibri" w:hAnsi="Arial" w:cs="Arial"/>
                <w:b w:val="0"/>
                <w:bCs w:val="0"/>
                <w:kern w:val="0"/>
                <w:sz w:val="20"/>
                <w:szCs w:val="20"/>
                <w:lang w:val="es-ES"/>
                <w14:ligatures w14:val="none"/>
              </w:rPr>
              <w:t xml:space="preserve">, </w:t>
            </w:r>
            <w:proofErr w:type="spellStart"/>
            <w:r w:rsidRPr="008E5311">
              <w:rPr>
                <w:rFonts w:ascii="Arial" w:eastAsia="Calibri" w:hAnsi="Arial" w:cs="Arial"/>
                <w:b w:val="0"/>
                <w:bCs w:val="0"/>
                <w:kern w:val="0"/>
                <w:sz w:val="20"/>
                <w:szCs w:val="20"/>
                <w:lang w:val="es-ES"/>
                <w14:ligatures w14:val="none"/>
              </w:rPr>
              <w:t>Else</w:t>
            </w:r>
            <w:proofErr w:type="spellEnd"/>
            <w:r w:rsidRPr="008E5311">
              <w:rPr>
                <w:rFonts w:ascii="Arial" w:eastAsia="Calibri" w:hAnsi="Arial" w:cs="Arial"/>
                <w:b w:val="0"/>
                <w:bCs w:val="0"/>
                <w:kern w:val="0"/>
                <w:sz w:val="20"/>
                <w:szCs w:val="20"/>
                <w:lang w:val="es-ES"/>
                <w14:ligatures w14:val="none"/>
              </w:rPr>
              <w:t xml:space="preserve"> Grete </w:t>
            </w:r>
            <w:r w:rsidRPr="00E04896">
              <w:rPr>
                <w:rFonts w:ascii="Arial" w:eastAsia="Calibri" w:hAnsi="Arial" w:cs="Arial"/>
                <w:b w:val="0"/>
                <w:bCs w:val="0"/>
                <w:kern w:val="0"/>
                <w:sz w:val="20"/>
                <w:szCs w:val="20"/>
                <w:lang w:val="es-ES"/>
                <w14:ligatures w14:val="none"/>
              </w:rPr>
              <w:t xml:space="preserve">de la Universidad del Ártico </w:t>
            </w:r>
            <w:proofErr w:type="spellStart"/>
            <w:r w:rsidRPr="00E04896">
              <w:rPr>
                <w:rFonts w:ascii="Arial" w:eastAsia="Calibri" w:hAnsi="Arial" w:cs="Arial"/>
                <w:b w:val="0"/>
                <w:bCs w:val="0"/>
                <w:kern w:val="0"/>
                <w:sz w:val="20"/>
                <w:szCs w:val="20"/>
                <w:lang w:val="es-ES"/>
                <w14:ligatures w14:val="none"/>
              </w:rPr>
              <w:t>UiT</w:t>
            </w:r>
            <w:proofErr w:type="spellEnd"/>
            <w:r w:rsidRPr="008E5311">
              <w:rPr>
                <w:rFonts w:ascii="Arial" w:eastAsia="Calibri" w:hAnsi="Arial" w:cs="Arial"/>
                <w:b w:val="0"/>
                <w:bCs w:val="0"/>
                <w:kern w:val="0"/>
                <w:sz w:val="20"/>
                <w:szCs w:val="20"/>
                <w:lang w:val="es-ES"/>
                <w14:ligatures w14:val="none"/>
              </w:rPr>
              <w:t xml:space="preserve"> </w:t>
            </w:r>
            <w:r w:rsidR="00A82FEA" w:rsidRPr="008E5311">
              <w:rPr>
                <w:rFonts w:ascii="Arial" w:eastAsia="Calibri" w:hAnsi="Arial" w:cs="Arial"/>
                <w:b w:val="0"/>
                <w:bCs w:val="0"/>
                <w:kern w:val="0"/>
                <w:sz w:val="20"/>
                <w:szCs w:val="20"/>
                <w:lang w:val="es-ES"/>
                <w14:ligatures w14:val="none"/>
              </w:rPr>
              <w:t xml:space="preserve">Campus </w:t>
            </w:r>
            <w:proofErr w:type="spellStart"/>
            <w:r w:rsidR="00A82FEA" w:rsidRPr="008E5311">
              <w:rPr>
                <w:rFonts w:ascii="Arial" w:eastAsia="Calibri" w:hAnsi="Arial" w:cs="Arial"/>
                <w:b w:val="0"/>
                <w:bCs w:val="0"/>
                <w:kern w:val="0"/>
                <w:sz w:val="20"/>
                <w:szCs w:val="20"/>
                <w:lang w:val="es-ES"/>
                <w14:ligatures w14:val="none"/>
              </w:rPr>
              <w:t>Breivika</w:t>
            </w:r>
            <w:proofErr w:type="spellEnd"/>
          </w:p>
          <w:p w14:paraId="22096C4F" w14:textId="78F75527" w:rsidR="00E04896" w:rsidRPr="008E5311" w:rsidRDefault="00A82FEA" w:rsidP="008E5311">
            <w:pPr>
              <w:pStyle w:val="Prrafodelista"/>
              <w:numPr>
                <w:ilvl w:val="0"/>
                <w:numId w:val="9"/>
              </w:numPr>
              <w:tabs>
                <w:tab w:val="left" w:pos="708"/>
                <w:tab w:val="center" w:pos="4419"/>
                <w:tab w:val="right" w:pos="8838"/>
              </w:tabs>
              <w:spacing w:line="276" w:lineRule="auto"/>
              <w:rPr>
                <w:rFonts w:ascii="Arial" w:eastAsia="Calibri" w:hAnsi="Arial" w:cs="Arial"/>
                <w:b w:val="0"/>
                <w:bCs w:val="0"/>
                <w:kern w:val="0"/>
                <w:sz w:val="20"/>
                <w:szCs w:val="20"/>
                <w:lang w:val="es-ES"/>
                <w14:ligatures w14:val="none"/>
              </w:rPr>
            </w:pPr>
            <w:r w:rsidRPr="00E04896">
              <w:rPr>
                <w:rFonts w:ascii="Arial" w:eastAsia="Calibri" w:hAnsi="Arial" w:cs="Arial"/>
                <w:b w:val="0"/>
                <w:bCs w:val="0"/>
                <w:kern w:val="0"/>
                <w:sz w:val="20"/>
                <w:szCs w:val="20"/>
                <w:lang w:val="es-ES"/>
                <w14:ligatures w14:val="none"/>
              </w:rPr>
              <w:t>1</w:t>
            </w:r>
            <w:r w:rsidR="008E5311">
              <w:rPr>
                <w:rFonts w:ascii="Arial" w:eastAsia="Calibri" w:hAnsi="Arial" w:cs="Arial"/>
                <w:b w:val="0"/>
                <w:bCs w:val="0"/>
                <w:kern w:val="0"/>
                <w:sz w:val="20"/>
                <w:szCs w:val="20"/>
                <w:lang w:val="es-ES"/>
                <w14:ligatures w14:val="none"/>
              </w:rPr>
              <w:t>1</w:t>
            </w:r>
            <w:r w:rsidRPr="00E04896">
              <w:rPr>
                <w:rFonts w:ascii="Arial" w:eastAsia="Calibri" w:hAnsi="Arial" w:cs="Arial"/>
                <w:b w:val="0"/>
                <w:bCs w:val="0"/>
                <w:kern w:val="0"/>
                <w:sz w:val="20"/>
                <w:szCs w:val="20"/>
                <w:lang w:val="es-ES"/>
                <w14:ligatures w14:val="none"/>
              </w:rPr>
              <w:t>:</w:t>
            </w:r>
            <w:r w:rsidR="008E5311">
              <w:rPr>
                <w:rFonts w:ascii="Arial" w:eastAsia="Calibri" w:hAnsi="Arial" w:cs="Arial"/>
                <w:b w:val="0"/>
                <w:bCs w:val="0"/>
                <w:kern w:val="0"/>
                <w:sz w:val="20"/>
                <w:szCs w:val="20"/>
                <w:lang w:val="es-ES"/>
                <w14:ligatures w14:val="none"/>
              </w:rPr>
              <w:t>0</w:t>
            </w:r>
            <w:r w:rsidRPr="00E04896">
              <w:rPr>
                <w:rFonts w:ascii="Arial" w:eastAsia="Calibri" w:hAnsi="Arial" w:cs="Arial"/>
                <w:b w:val="0"/>
                <w:bCs w:val="0"/>
                <w:kern w:val="0"/>
                <w:sz w:val="20"/>
                <w:szCs w:val="20"/>
                <w:lang w:val="es-ES"/>
                <w14:ligatures w14:val="none"/>
              </w:rPr>
              <w:t>0 – 1</w:t>
            </w:r>
            <w:r w:rsidR="008E5311">
              <w:rPr>
                <w:rFonts w:ascii="Arial" w:eastAsia="Calibri" w:hAnsi="Arial" w:cs="Arial"/>
                <w:b w:val="0"/>
                <w:bCs w:val="0"/>
                <w:kern w:val="0"/>
                <w:sz w:val="20"/>
                <w:szCs w:val="20"/>
                <w:lang w:val="es-ES"/>
                <w14:ligatures w14:val="none"/>
              </w:rPr>
              <w:t>1</w:t>
            </w:r>
            <w:r w:rsidRPr="00E04896">
              <w:rPr>
                <w:rFonts w:ascii="Arial" w:eastAsia="Calibri" w:hAnsi="Arial" w:cs="Arial"/>
                <w:b w:val="0"/>
                <w:bCs w:val="0"/>
                <w:kern w:val="0"/>
                <w:sz w:val="20"/>
                <w:szCs w:val="20"/>
                <w:lang w:val="es-ES"/>
                <w14:ligatures w14:val="none"/>
              </w:rPr>
              <w:t>:</w:t>
            </w:r>
            <w:r w:rsidR="008E5311">
              <w:rPr>
                <w:rFonts w:ascii="Arial" w:eastAsia="Calibri" w:hAnsi="Arial" w:cs="Arial"/>
                <w:b w:val="0"/>
                <w:bCs w:val="0"/>
                <w:kern w:val="0"/>
                <w:sz w:val="20"/>
                <w:szCs w:val="20"/>
                <w:lang w:val="es-ES"/>
                <w14:ligatures w14:val="none"/>
              </w:rPr>
              <w:t>4</w:t>
            </w:r>
            <w:r w:rsidRPr="00E04896">
              <w:rPr>
                <w:rFonts w:ascii="Arial" w:eastAsia="Calibri" w:hAnsi="Arial" w:cs="Arial"/>
                <w:b w:val="0"/>
                <w:bCs w:val="0"/>
                <w:kern w:val="0"/>
                <w:sz w:val="20"/>
                <w:szCs w:val="20"/>
                <w:lang w:val="es-ES"/>
                <w14:ligatures w14:val="none"/>
              </w:rPr>
              <w:t xml:space="preserve">0 </w:t>
            </w:r>
            <w:r w:rsidR="008E5311" w:rsidRPr="008E5311">
              <w:rPr>
                <w:rFonts w:ascii="Arial" w:eastAsia="Calibri" w:hAnsi="Arial" w:cs="Arial"/>
                <w:b w:val="0"/>
                <w:bCs w:val="0"/>
                <w:kern w:val="0"/>
                <w:sz w:val="20"/>
                <w:szCs w:val="20"/>
                <w:lang w:val="es-ES"/>
                <w14:ligatures w14:val="none"/>
              </w:rPr>
              <w:t xml:space="preserve">Reunión con el Vicerrector </w:t>
            </w:r>
            <w:r w:rsidR="008E5311">
              <w:rPr>
                <w:rFonts w:ascii="Arial" w:eastAsia="Calibri" w:hAnsi="Arial" w:cs="Arial"/>
                <w:b w:val="0"/>
                <w:bCs w:val="0"/>
                <w:kern w:val="0"/>
                <w:sz w:val="20"/>
                <w:szCs w:val="20"/>
                <w:lang w:val="es-ES"/>
                <w14:ligatures w14:val="none"/>
              </w:rPr>
              <w:t>d</w:t>
            </w:r>
            <w:r w:rsidR="008E5311" w:rsidRPr="008E5311">
              <w:rPr>
                <w:rFonts w:ascii="Arial" w:eastAsia="Calibri" w:hAnsi="Arial" w:cs="Arial"/>
                <w:b w:val="0"/>
                <w:bCs w:val="0"/>
                <w:kern w:val="0"/>
                <w:sz w:val="20"/>
                <w:szCs w:val="20"/>
                <w:lang w:val="es-ES"/>
                <w14:ligatures w14:val="none"/>
              </w:rPr>
              <w:t xml:space="preserve">e Investigación </w:t>
            </w:r>
            <w:r w:rsidR="008E5311">
              <w:rPr>
                <w:rFonts w:ascii="Arial" w:eastAsia="Calibri" w:hAnsi="Arial" w:cs="Arial"/>
                <w:b w:val="0"/>
                <w:bCs w:val="0"/>
                <w:kern w:val="0"/>
                <w:sz w:val="20"/>
                <w:szCs w:val="20"/>
                <w:lang w:val="es-ES"/>
                <w14:ligatures w14:val="none"/>
              </w:rPr>
              <w:t>y</w:t>
            </w:r>
            <w:r w:rsidR="008E5311" w:rsidRPr="008E5311">
              <w:rPr>
                <w:rFonts w:ascii="Arial" w:eastAsia="Calibri" w:hAnsi="Arial" w:cs="Arial"/>
                <w:b w:val="0"/>
                <w:bCs w:val="0"/>
                <w:kern w:val="0"/>
                <w:sz w:val="20"/>
                <w:szCs w:val="20"/>
                <w:lang w:val="es-ES"/>
                <w14:ligatures w14:val="none"/>
              </w:rPr>
              <w:t xml:space="preserve"> Desarrollo</w:t>
            </w:r>
            <w:r w:rsidR="008E5311">
              <w:rPr>
                <w:rFonts w:ascii="Arial" w:eastAsia="Calibri" w:hAnsi="Arial" w:cs="Arial"/>
                <w:b w:val="0"/>
                <w:bCs w:val="0"/>
                <w:kern w:val="0"/>
                <w:sz w:val="20"/>
                <w:szCs w:val="20"/>
                <w:lang w:val="es-ES"/>
                <w14:ligatures w14:val="none"/>
              </w:rPr>
              <w:t>:</w:t>
            </w:r>
            <w:r w:rsidR="008E5311" w:rsidRPr="008E5311">
              <w:rPr>
                <w:rFonts w:ascii="Arial" w:eastAsia="Calibri" w:hAnsi="Arial" w:cs="Arial"/>
                <w:b w:val="0"/>
                <w:bCs w:val="0"/>
                <w:kern w:val="0"/>
                <w:sz w:val="20"/>
                <w:szCs w:val="20"/>
                <w:lang w:val="es-ES"/>
                <w14:ligatures w14:val="none"/>
              </w:rPr>
              <w:t xml:space="preserve"> Jan-Gunnar </w:t>
            </w:r>
            <w:proofErr w:type="spellStart"/>
            <w:r w:rsidR="008E5311" w:rsidRPr="008E5311">
              <w:rPr>
                <w:rFonts w:ascii="Arial" w:eastAsia="Calibri" w:hAnsi="Arial" w:cs="Arial"/>
                <w:b w:val="0"/>
                <w:bCs w:val="0"/>
                <w:kern w:val="0"/>
                <w:sz w:val="20"/>
                <w:szCs w:val="20"/>
                <w:lang w:val="es-ES"/>
                <w14:ligatures w14:val="none"/>
              </w:rPr>
              <w:t>Winther</w:t>
            </w:r>
            <w:proofErr w:type="spellEnd"/>
            <w:r w:rsidR="008E5311" w:rsidRPr="008E5311">
              <w:rPr>
                <w:rFonts w:ascii="Arial" w:eastAsia="Calibri" w:hAnsi="Arial" w:cs="Arial"/>
                <w:b w:val="0"/>
                <w:bCs w:val="0"/>
                <w:kern w:val="0"/>
                <w:sz w:val="20"/>
                <w:szCs w:val="20"/>
                <w:lang w:val="es-ES"/>
                <w14:ligatures w14:val="none"/>
              </w:rPr>
              <w:t xml:space="preserve"> </w:t>
            </w:r>
            <w:r w:rsidR="008E5311" w:rsidRPr="00E04896">
              <w:rPr>
                <w:rFonts w:ascii="Arial" w:eastAsia="Calibri" w:hAnsi="Arial" w:cs="Arial"/>
                <w:b w:val="0"/>
                <w:bCs w:val="0"/>
                <w:kern w:val="0"/>
                <w:sz w:val="20"/>
                <w:szCs w:val="20"/>
                <w:lang w:val="es-ES"/>
                <w14:ligatures w14:val="none"/>
              </w:rPr>
              <w:t xml:space="preserve">de la Universidad del Ártico </w:t>
            </w:r>
            <w:proofErr w:type="spellStart"/>
            <w:r w:rsidR="008E5311" w:rsidRPr="00E04896">
              <w:rPr>
                <w:rFonts w:ascii="Arial" w:eastAsia="Calibri" w:hAnsi="Arial" w:cs="Arial"/>
                <w:b w:val="0"/>
                <w:bCs w:val="0"/>
                <w:kern w:val="0"/>
                <w:sz w:val="20"/>
                <w:szCs w:val="20"/>
                <w:lang w:val="es-ES"/>
                <w14:ligatures w14:val="none"/>
              </w:rPr>
              <w:t>UiT</w:t>
            </w:r>
            <w:proofErr w:type="spellEnd"/>
            <w:r w:rsidR="008E5311">
              <w:rPr>
                <w:rFonts w:ascii="Arial" w:eastAsia="Calibri" w:hAnsi="Arial" w:cs="Arial"/>
                <w:b w:val="0"/>
                <w:bCs w:val="0"/>
                <w:kern w:val="0"/>
                <w:sz w:val="20"/>
                <w:szCs w:val="20"/>
                <w:lang w:val="es-ES"/>
                <w14:ligatures w14:val="none"/>
              </w:rPr>
              <w:t xml:space="preserve">, </w:t>
            </w:r>
            <w:r w:rsidRPr="00E04896">
              <w:rPr>
                <w:rFonts w:ascii="Arial" w:eastAsia="Calibri" w:hAnsi="Arial" w:cs="Arial"/>
                <w:b w:val="0"/>
                <w:bCs w:val="0"/>
                <w:kern w:val="0"/>
                <w:sz w:val="20"/>
                <w:szCs w:val="20"/>
                <w:lang w:val="es-ES"/>
                <w14:ligatures w14:val="none"/>
              </w:rPr>
              <w:t xml:space="preserve">Campus </w:t>
            </w:r>
            <w:proofErr w:type="spellStart"/>
            <w:r w:rsidRPr="00E04896">
              <w:rPr>
                <w:rFonts w:ascii="Arial" w:eastAsia="Calibri" w:hAnsi="Arial" w:cs="Arial"/>
                <w:b w:val="0"/>
                <w:bCs w:val="0"/>
                <w:kern w:val="0"/>
                <w:sz w:val="20"/>
                <w:szCs w:val="20"/>
                <w:lang w:val="es-ES"/>
                <w14:ligatures w14:val="none"/>
              </w:rPr>
              <w:t>Breivika</w:t>
            </w:r>
            <w:proofErr w:type="spellEnd"/>
          </w:p>
          <w:p w14:paraId="0C5CCEEB" w14:textId="0C192FE5" w:rsidR="008E5311" w:rsidRPr="00E04896" w:rsidRDefault="008E5311" w:rsidP="008E5311">
            <w:pPr>
              <w:pStyle w:val="Prrafodelista"/>
              <w:numPr>
                <w:ilvl w:val="0"/>
                <w:numId w:val="9"/>
              </w:numPr>
              <w:tabs>
                <w:tab w:val="left" w:pos="708"/>
                <w:tab w:val="center" w:pos="4419"/>
                <w:tab w:val="right" w:pos="8838"/>
              </w:tabs>
              <w:spacing w:line="276" w:lineRule="auto"/>
              <w:rPr>
                <w:rFonts w:ascii="Arial" w:eastAsia="Calibri" w:hAnsi="Arial" w:cs="Arial"/>
                <w:b w:val="0"/>
                <w:bCs w:val="0"/>
                <w:color w:val="2F5496"/>
                <w:kern w:val="0"/>
                <w:sz w:val="20"/>
                <w:szCs w:val="20"/>
                <w:lang w:val="es-ES"/>
                <w14:ligatures w14:val="none"/>
              </w:rPr>
            </w:pPr>
            <w:r>
              <w:rPr>
                <w:rFonts w:ascii="Arial" w:eastAsia="Calibri" w:hAnsi="Arial" w:cs="Arial"/>
                <w:b w:val="0"/>
                <w:bCs w:val="0"/>
                <w:kern w:val="0"/>
                <w:sz w:val="20"/>
                <w:szCs w:val="20"/>
                <w:lang w:val="es-ES"/>
                <w14:ligatures w14:val="none"/>
              </w:rPr>
              <w:t xml:space="preserve">13:00 a 15:00 </w:t>
            </w:r>
            <w:r w:rsidRPr="008E5311">
              <w:rPr>
                <w:rFonts w:ascii="Arial" w:eastAsia="Calibri" w:hAnsi="Arial" w:cs="Arial"/>
                <w:b w:val="0"/>
                <w:bCs w:val="0"/>
                <w:kern w:val="0"/>
                <w:sz w:val="20"/>
                <w:szCs w:val="20"/>
                <w:lang w:val="es-ES"/>
                <w14:ligatures w14:val="none"/>
              </w:rPr>
              <w:t>Reunión con el presidente de la Universidad del Ártico (</w:t>
            </w:r>
            <w:proofErr w:type="spellStart"/>
            <w:r w:rsidRPr="008E5311">
              <w:rPr>
                <w:rFonts w:ascii="Arial" w:eastAsia="Calibri" w:hAnsi="Arial" w:cs="Arial"/>
                <w:b w:val="0"/>
                <w:bCs w:val="0"/>
                <w:kern w:val="0"/>
                <w:sz w:val="20"/>
                <w:szCs w:val="20"/>
                <w:lang w:val="es-ES"/>
                <w14:ligatures w14:val="none"/>
              </w:rPr>
              <w:t>UArctic</w:t>
            </w:r>
            <w:proofErr w:type="spellEnd"/>
            <w:r w:rsidRPr="008E5311">
              <w:rPr>
                <w:rFonts w:ascii="Arial" w:eastAsia="Calibri" w:hAnsi="Arial" w:cs="Arial"/>
                <w:b w:val="0"/>
                <w:bCs w:val="0"/>
                <w:kern w:val="0"/>
                <w:sz w:val="20"/>
                <w:szCs w:val="20"/>
                <w:lang w:val="es-ES"/>
                <w14:ligatures w14:val="none"/>
              </w:rPr>
              <w:t xml:space="preserve">), Lars </w:t>
            </w:r>
            <w:proofErr w:type="spellStart"/>
            <w:r w:rsidRPr="008E5311">
              <w:rPr>
                <w:rFonts w:ascii="Arial" w:eastAsia="Calibri" w:hAnsi="Arial" w:cs="Arial"/>
                <w:b w:val="0"/>
                <w:bCs w:val="0"/>
                <w:kern w:val="0"/>
                <w:sz w:val="20"/>
                <w:szCs w:val="20"/>
                <w:lang w:val="es-ES"/>
                <w14:ligatures w14:val="none"/>
              </w:rPr>
              <w:t>Kullerud</w:t>
            </w:r>
            <w:proofErr w:type="spellEnd"/>
            <w:r w:rsidR="009331F5">
              <w:rPr>
                <w:rFonts w:ascii="Arial" w:eastAsia="Calibri" w:hAnsi="Arial" w:cs="Arial"/>
                <w:b w:val="0"/>
                <w:bCs w:val="0"/>
                <w:kern w:val="0"/>
                <w:sz w:val="20"/>
                <w:szCs w:val="20"/>
                <w:lang w:val="es-ES"/>
                <w14:ligatures w14:val="none"/>
              </w:rPr>
              <w:t xml:space="preserve">. </w:t>
            </w:r>
            <w:r w:rsidR="009331F5" w:rsidRPr="00E04896">
              <w:rPr>
                <w:rFonts w:ascii="Arial" w:eastAsia="Calibri" w:hAnsi="Arial" w:cs="Arial"/>
                <w:b w:val="0"/>
                <w:bCs w:val="0"/>
                <w:kern w:val="0"/>
                <w:sz w:val="20"/>
                <w:szCs w:val="20"/>
                <w:lang w:val="es-ES"/>
                <w14:ligatures w14:val="none"/>
              </w:rPr>
              <w:t xml:space="preserve">Campus </w:t>
            </w:r>
            <w:proofErr w:type="spellStart"/>
            <w:r w:rsidR="009331F5" w:rsidRPr="00E04896">
              <w:rPr>
                <w:rFonts w:ascii="Arial" w:eastAsia="Calibri" w:hAnsi="Arial" w:cs="Arial"/>
                <w:b w:val="0"/>
                <w:bCs w:val="0"/>
                <w:kern w:val="0"/>
                <w:sz w:val="20"/>
                <w:szCs w:val="20"/>
                <w:lang w:val="es-ES"/>
                <w14:ligatures w14:val="none"/>
              </w:rPr>
              <w:t>Breivika</w:t>
            </w:r>
            <w:proofErr w:type="spellEnd"/>
          </w:p>
        </w:tc>
      </w:tr>
      <w:tr w:rsidR="00E04896" w:rsidRPr="00E04896" w14:paraId="73A9BAEA" w14:textId="77777777" w:rsidTr="00E04896">
        <w:trPr>
          <w:trHeight w:val="1901"/>
        </w:trPr>
        <w:tc>
          <w:tcPr>
            <w:cnfStyle w:val="001000000000" w:firstRow="0" w:lastRow="0" w:firstColumn="1" w:lastColumn="0" w:oddVBand="0" w:evenVBand="0" w:oddHBand="0" w:evenHBand="0" w:firstRowFirstColumn="0" w:firstRowLastColumn="0" w:lastRowFirstColumn="0" w:lastRowLastColumn="0"/>
            <w:tcW w:w="9962" w:type="dxa"/>
          </w:tcPr>
          <w:p w14:paraId="1D54305A" w14:textId="4E63A9BE" w:rsidR="00A82FEA" w:rsidRPr="00A82FEA" w:rsidRDefault="00A82FEA" w:rsidP="00A82FEA">
            <w:pPr>
              <w:tabs>
                <w:tab w:val="left" w:pos="708"/>
                <w:tab w:val="center" w:pos="4419"/>
                <w:tab w:val="right" w:pos="8838"/>
              </w:tabs>
              <w:spacing w:line="276" w:lineRule="auto"/>
              <w:contextualSpacing/>
              <w:rPr>
                <w:rFonts w:ascii="Arial" w:eastAsia="Calibri" w:hAnsi="Arial" w:cs="Arial"/>
                <w:color w:val="2F5496"/>
                <w:kern w:val="0"/>
                <w:sz w:val="20"/>
                <w:szCs w:val="20"/>
                <w:lang w:val="es-ES"/>
                <w14:ligatures w14:val="none"/>
              </w:rPr>
            </w:pPr>
            <w:r w:rsidRPr="00A82FEA">
              <w:rPr>
                <w:rFonts w:ascii="Arial" w:eastAsia="Calibri" w:hAnsi="Arial" w:cs="Arial"/>
                <w:color w:val="2F5496"/>
                <w:kern w:val="0"/>
                <w:sz w:val="20"/>
                <w:szCs w:val="20"/>
                <w:lang w:val="es-ES"/>
                <w14:ligatures w14:val="none"/>
              </w:rPr>
              <w:t xml:space="preserve">Día </w:t>
            </w:r>
            <w:r>
              <w:rPr>
                <w:rFonts w:ascii="Arial" w:eastAsia="Calibri" w:hAnsi="Arial" w:cs="Arial"/>
                <w:color w:val="2F5496"/>
                <w:kern w:val="0"/>
                <w:sz w:val="20"/>
                <w:szCs w:val="20"/>
                <w:lang w:val="es-ES"/>
                <w14:ligatures w14:val="none"/>
              </w:rPr>
              <w:t>3</w:t>
            </w:r>
          </w:p>
          <w:p w14:paraId="41CFA50B" w14:textId="3D4F248E" w:rsidR="00A82FEA" w:rsidRPr="009331F5" w:rsidRDefault="00A82FEA" w:rsidP="00A82FEA">
            <w:pPr>
              <w:tabs>
                <w:tab w:val="left" w:pos="708"/>
                <w:tab w:val="center" w:pos="4419"/>
                <w:tab w:val="right" w:pos="8838"/>
              </w:tabs>
              <w:spacing w:line="276" w:lineRule="auto"/>
              <w:contextualSpacing/>
              <w:rPr>
                <w:rFonts w:ascii="Arial" w:eastAsia="Calibri" w:hAnsi="Arial" w:cs="Arial"/>
                <w:b w:val="0"/>
                <w:bCs w:val="0"/>
                <w:color w:val="2F5496"/>
                <w:kern w:val="0"/>
                <w:sz w:val="20"/>
                <w:szCs w:val="20"/>
                <w:lang w:val="es-ES"/>
                <w14:ligatures w14:val="none"/>
              </w:rPr>
            </w:pPr>
            <w:r>
              <w:rPr>
                <w:rFonts w:ascii="Arial" w:eastAsia="Calibri" w:hAnsi="Arial" w:cs="Arial"/>
                <w:color w:val="2F5496"/>
                <w:kern w:val="0"/>
                <w:sz w:val="20"/>
                <w:szCs w:val="20"/>
                <w:lang w:val="es-ES"/>
                <w14:ligatures w14:val="none"/>
              </w:rPr>
              <w:t>Miércoles</w:t>
            </w:r>
            <w:r w:rsidRPr="00A82FEA">
              <w:rPr>
                <w:rFonts w:ascii="Arial" w:eastAsia="Calibri" w:hAnsi="Arial" w:cs="Arial"/>
                <w:color w:val="2F5496"/>
                <w:kern w:val="0"/>
                <w:sz w:val="20"/>
                <w:szCs w:val="20"/>
                <w:lang w:val="es-ES"/>
                <w14:ligatures w14:val="none"/>
              </w:rPr>
              <w:t xml:space="preserve"> 2</w:t>
            </w:r>
            <w:r>
              <w:rPr>
                <w:rFonts w:ascii="Arial" w:eastAsia="Calibri" w:hAnsi="Arial" w:cs="Arial"/>
                <w:color w:val="2F5496"/>
                <w:kern w:val="0"/>
                <w:sz w:val="20"/>
                <w:szCs w:val="20"/>
                <w:lang w:val="es-ES"/>
                <w14:ligatures w14:val="none"/>
              </w:rPr>
              <w:t>5</w:t>
            </w:r>
            <w:r w:rsidRPr="00A82FEA">
              <w:rPr>
                <w:rFonts w:ascii="Arial" w:eastAsia="Calibri" w:hAnsi="Arial" w:cs="Arial"/>
                <w:color w:val="2F5496"/>
                <w:kern w:val="0"/>
                <w:sz w:val="20"/>
                <w:szCs w:val="20"/>
                <w:lang w:val="es-ES"/>
                <w14:ligatures w14:val="none"/>
              </w:rPr>
              <w:t xml:space="preserve"> de Junio</w:t>
            </w:r>
          </w:p>
          <w:p w14:paraId="744B8654" w14:textId="54428979" w:rsidR="00E04896" w:rsidRPr="009331F5" w:rsidRDefault="008E5311" w:rsidP="009331F5">
            <w:pPr>
              <w:pStyle w:val="Prrafodelista"/>
              <w:numPr>
                <w:ilvl w:val="0"/>
                <w:numId w:val="9"/>
              </w:numPr>
              <w:tabs>
                <w:tab w:val="left" w:pos="708"/>
                <w:tab w:val="center" w:pos="4419"/>
                <w:tab w:val="right" w:pos="8838"/>
              </w:tabs>
              <w:spacing w:line="276" w:lineRule="auto"/>
              <w:rPr>
                <w:rFonts w:ascii="Arial" w:eastAsia="Calibri" w:hAnsi="Arial" w:cs="Arial"/>
                <w:b w:val="0"/>
                <w:bCs w:val="0"/>
                <w:color w:val="2F5496"/>
                <w:kern w:val="0"/>
                <w:sz w:val="20"/>
                <w:szCs w:val="20"/>
                <w:lang w:val="es-ES"/>
                <w14:ligatures w14:val="none"/>
              </w:rPr>
            </w:pPr>
            <w:r w:rsidRPr="009331F5">
              <w:rPr>
                <w:rFonts w:ascii="Arial" w:eastAsia="Calibri" w:hAnsi="Arial" w:cs="Arial"/>
                <w:b w:val="0"/>
                <w:bCs w:val="0"/>
                <w:kern w:val="0"/>
                <w:sz w:val="20"/>
                <w:szCs w:val="20"/>
                <w:lang w:val="es-ES"/>
                <w14:ligatures w14:val="none"/>
              </w:rPr>
              <w:t xml:space="preserve">09:30 – 11:30 Reunión con el Centro de Estudios para la Paz (CPS) Profesor asociado </w:t>
            </w:r>
            <w:proofErr w:type="spellStart"/>
            <w:r w:rsidRPr="009331F5">
              <w:rPr>
                <w:rFonts w:ascii="Arial" w:eastAsia="Calibri" w:hAnsi="Arial" w:cs="Arial"/>
                <w:b w:val="0"/>
                <w:bCs w:val="0"/>
                <w:kern w:val="0"/>
                <w:sz w:val="20"/>
                <w:szCs w:val="20"/>
                <w:lang w:val="es-ES"/>
                <w14:ligatures w14:val="none"/>
              </w:rPr>
              <w:t>Salehin</w:t>
            </w:r>
            <w:proofErr w:type="spellEnd"/>
            <w:r w:rsidRPr="009331F5">
              <w:rPr>
                <w:rFonts w:ascii="Arial" w:eastAsia="Calibri" w:hAnsi="Arial" w:cs="Arial"/>
                <w:b w:val="0"/>
                <w:bCs w:val="0"/>
                <w:kern w:val="0"/>
                <w:sz w:val="20"/>
                <w:szCs w:val="20"/>
                <w:lang w:val="es-ES"/>
                <w14:ligatures w14:val="none"/>
              </w:rPr>
              <w:t xml:space="preserve">, Mohammad </w:t>
            </w:r>
            <w:proofErr w:type="spellStart"/>
            <w:r w:rsidRPr="009331F5">
              <w:rPr>
                <w:rFonts w:ascii="Arial" w:eastAsia="Calibri" w:hAnsi="Arial" w:cs="Arial"/>
                <w:b w:val="0"/>
                <w:bCs w:val="0"/>
                <w:kern w:val="0"/>
                <w:sz w:val="20"/>
                <w:szCs w:val="20"/>
                <w:lang w:val="es-ES"/>
                <w14:ligatures w14:val="none"/>
              </w:rPr>
              <w:t>Musfequs</w:t>
            </w:r>
            <w:proofErr w:type="spellEnd"/>
            <w:r w:rsidR="009331F5" w:rsidRPr="009331F5">
              <w:rPr>
                <w:rFonts w:ascii="Arial" w:eastAsia="Calibri" w:hAnsi="Arial" w:cs="Arial"/>
                <w:b w:val="0"/>
                <w:bCs w:val="0"/>
                <w:kern w:val="0"/>
                <w:sz w:val="20"/>
                <w:szCs w:val="20"/>
                <w:lang w:val="es-ES"/>
                <w14:ligatures w14:val="none"/>
              </w:rPr>
              <w:t xml:space="preserve"> y con la </w:t>
            </w:r>
            <w:r w:rsidRPr="009331F5">
              <w:rPr>
                <w:rFonts w:ascii="Arial" w:eastAsia="Calibri" w:hAnsi="Arial" w:cs="Arial"/>
                <w:b w:val="0"/>
                <w:bCs w:val="0"/>
                <w:kern w:val="0"/>
                <w:sz w:val="20"/>
                <w:szCs w:val="20"/>
                <w:lang w:val="es-ES"/>
                <w14:ligatures w14:val="none"/>
              </w:rPr>
              <w:t xml:space="preserve">Jefe del Centro (Profesor asociado) Marcela Douglas </w:t>
            </w:r>
            <w:proofErr w:type="spellStart"/>
            <w:r w:rsidRPr="009331F5">
              <w:rPr>
                <w:rFonts w:ascii="Arial" w:eastAsia="Calibri" w:hAnsi="Arial" w:cs="Arial"/>
                <w:b w:val="0"/>
                <w:bCs w:val="0"/>
                <w:kern w:val="0"/>
                <w:sz w:val="20"/>
                <w:szCs w:val="20"/>
                <w:lang w:val="es-ES"/>
                <w14:ligatures w14:val="none"/>
              </w:rPr>
              <w:t>Aranibar</w:t>
            </w:r>
            <w:proofErr w:type="spellEnd"/>
            <w:r w:rsidRPr="009331F5">
              <w:rPr>
                <w:rFonts w:ascii="Arial" w:eastAsia="Calibri" w:hAnsi="Arial" w:cs="Arial"/>
                <w:b w:val="0"/>
                <w:bCs w:val="0"/>
                <w:kern w:val="0"/>
                <w:sz w:val="20"/>
                <w:szCs w:val="20"/>
                <w:lang w:val="es-ES"/>
                <w14:ligatures w14:val="none"/>
              </w:rPr>
              <w:t xml:space="preserve">  </w:t>
            </w:r>
            <w:r w:rsidR="009331F5" w:rsidRPr="008E5311">
              <w:rPr>
                <w:rFonts w:ascii="Arial" w:eastAsia="Calibri" w:hAnsi="Arial" w:cs="Arial"/>
                <w:b w:val="0"/>
                <w:bCs w:val="0"/>
                <w:kern w:val="0"/>
                <w:sz w:val="20"/>
                <w:szCs w:val="20"/>
                <w:lang w:val="es-ES"/>
                <w14:ligatures w14:val="none"/>
              </w:rPr>
              <w:t>de la Universidad del Ártico (</w:t>
            </w:r>
            <w:proofErr w:type="spellStart"/>
            <w:r w:rsidR="009331F5" w:rsidRPr="008E5311">
              <w:rPr>
                <w:rFonts w:ascii="Arial" w:eastAsia="Calibri" w:hAnsi="Arial" w:cs="Arial"/>
                <w:b w:val="0"/>
                <w:bCs w:val="0"/>
                <w:kern w:val="0"/>
                <w:sz w:val="20"/>
                <w:szCs w:val="20"/>
                <w:lang w:val="es-ES"/>
                <w14:ligatures w14:val="none"/>
              </w:rPr>
              <w:t>UArctic</w:t>
            </w:r>
            <w:proofErr w:type="spellEnd"/>
            <w:r w:rsidR="009331F5" w:rsidRPr="008E5311">
              <w:rPr>
                <w:rFonts w:ascii="Arial" w:eastAsia="Calibri" w:hAnsi="Arial" w:cs="Arial"/>
                <w:b w:val="0"/>
                <w:bCs w:val="0"/>
                <w:kern w:val="0"/>
                <w:sz w:val="20"/>
                <w:szCs w:val="20"/>
                <w:lang w:val="es-ES"/>
                <w14:ligatures w14:val="none"/>
              </w:rPr>
              <w:t>)</w:t>
            </w:r>
            <w:r w:rsidR="0073259F">
              <w:rPr>
                <w:rFonts w:ascii="Arial" w:eastAsia="Calibri" w:hAnsi="Arial" w:cs="Arial"/>
                <w:b w:val="0"/>
                <w:bCs w:val="0"/>
                <w:kern w:val="0"/>
                <w:sz w:val="20"/>
                <w:szCs w:val="20"/>
                <w:lang w:val="es-ES"/>
                <w14:ligatures w14:val="none"/>
              </w:rPr>
              <w:t xml:space="preserve">, </w:t>
            </w:r>
            <w:r w:rsidR="0073259F" w:rsidRPr="00E04896">
              <w:rPr>
                <w:rFonts w:ascii="Arial" w:eastAsia="Calibri" w:hAnsi="Arial" w:cs="Arial"/>
                <w:b w:val="0"/>
                <w:bCs w:val="0"/>
                <w:kern w:val="0"/>
                <w:sz w:val="20"/>
                <w:szCs w:val="20"/>
                <w:lang w:val="es-ES"/>
                <w14:ligatures w14:val="none"/>
              </w:rPr>
              <w:t xml:space="preserve">Campus </w:t>
            </w:r>
            <w:proofErr w:type="spellStart"/>
            <w:r w:rsidR="0073259F" w:rsidRPr="00E04896">
              <w:rPr>
                <w:rFonts w:ascii="Arial" w:eastAsia="Calibri" w:hAnsi="Arial" w:cs="Arial"/>
                <w:b w:val="0"/>
                <w:bCs w:val="0"/>
                <w:kern w:val="0"/>
                <w:sz w:val="20"/>
                <w:szCs w:val="20"/>
                <w:lang w:val="es-ES"/>
                <w14:ligatures w14:val="none"/>
              </w:rPr>
              <w:t>Breivika</w:t>
            </w:r>
            <w:proofErr w:type="spellEnd"/>
          </w:p>
          <w:p w14:paraId="1212BB57" w14:textId="5F272E36" w:rsidR="009331F5" w:rsidRPr="00E04896" w:rsidRDefault="009331F5" w:rsidP="009331F5">
            <w:pPr>
              <w:pStyle w:val="Prrafodelista"/>
              <w:numPr>
                <w:ilvl w:val="0"/>
                <w:numId w:val="9"/>
              </w:numPr>
              <w:tabs>
                <w:tab w:val="left" w:pos="708"/>
                <w:tab w:val="center" w:pos="4419"/>
                <w:tab w:val="right" w:pos="8838"/>
              </w:tabs>
              <w:spacing w:line="276" w:lineRule="auto"/>
              <w:rPr>
                <w:rFonts w:ascii="Arial" w:eastAsia="Calibri" w:hAnsi="Arial" w:cs="Arial"/>
                <w:b w:val="0"/>
                <w:bCs w:val="0"/>
                <w:color w:val="2F5496"/>
                <w:kern w:val="0"/>
                <w:sz w:val="20"/>
                <w:szCs w:val="20"/>
                <w:lang w:val="es-ES"/>
                <w14:ligatures w14:val="none"/>
              </w:rPr>
            </w:pPr>
            <w:r>
              <w:rPr>
                <w:rFonts w:ascii="Arial" w:eastAsia="Calibri" w:hAnsi="Arial" w:cs="Arial"/>
                <w:b w:val="0"/>
                <w:bCs w:val="0"/>
                <w:kern w:val="0"/>
                <w:sz w:val="20"/>
                <w:szCs w:val="20"/>
                <w:lang w:val="es-ES"/>
                <w14:ligatures w14:val="none"/>
              </w:rPr>
              <w:t xml:space="preserve">13:00 – 15:00 Visita al Jardín Botánico </w:t>
            </w:r>
            <w:r w:rsidRPr="008E5311">
              <w:rPr>
                <w:rFonts w:ascii="Arial" w:eastAsia="Calibri" w:hAnsi="Arial" w:cs="Arial"/>
                <w:b w:val="0"/>
                <w:bCs w:val="0"/>
                <w:kern w:val="0"/>
                <w:sz w:val="20"/>
                <w:szCs w:val="20"/>
                <w:lang w:val="es-ES"/>
                <w14:ligatures w14:val="none"/>
              </w:rPr>
              <w:t>de la Universidad del Ártico</w:t>
            </w:r>
            <w:r w:rsidR="0073259F">
              <w:rPr>
                <w:rFonts w:ascii="Arial" w:eastAsia="Calibri" w:hAnsi="Arial" w:cs="Arial"/>
                <w:b w:val="0"/>
                <w:bCs w:val="0"/>
                <w:kern w:val="0"/>
                <w:sz w:val="20"/>
                <w:szCs w:val="20"/>
                <w:lang w:val="es-ES"/>
                <w14:ligatures w14:val="none"/>
              </w:rPr>
              <w:t xml:space="preserve">. </w:t>
            </w:r>
            <w:r w:rsidR="0073259F" w:rsidRPr="00E04896">
              <w:rPr>
                <w:rFonts w:ascii="Arial" w:eastAsia="Calibri" w:hAnsi="Arial" w:cs="Arial"/>
                <w:b w:val="0"/>
                <w:bCs w:val="0"/>
                <w:kern w:val="0"/>
                <w:sz w:val="20"/>
                <w:szCs w:val="20"/>
                <w:lang w:val="es-ES"/>
                <w14:ligatures w14:val="none"/>
              </w:rPr>
              <w:t xml:space="preserve">Campus </w:t>
            </w:r>
            <w:proofErr w:type="spellStart"/>
            <w:r w:rsidR="0073259F" w:rsidRPr="00E04896">
              <w:rPr>
                <w:rFonts w:ascii="Arial" w:eastAsia="Calibri" w:hAnsi="Arial" w:cs="Arial"/>
                <w:b w:val="0"/>
                <w:bCs w:val="0"/>
                <w:kern w:val="0"/>
                <w:sz w:val="20"/>
                <w:szCs w:val="20"/>
                <w:lang w:val="es-ES"/>
                <w14:ligatures w14:val="none"/>
              </w:rPr>
              <w:t>Breivika</w:t>
            </w:r>
            <w:proofErr w:type="spellEnd"/>
          </w:p>
        </w:tc>
      </w:tr>
    </w:tbl>
    <w:p w14:paraId="5470CE48" w14:textId="04D1074E" w:rsidR="00E04896" w:rsidRPr="00E04896" w:rsidRDefault="00E04896" w:rsidP="00E04896">
      <w:pPr>
        <w:tabs>
          <w:tab w:val="left" w:pos="708"/>
          <w:tab w:val="center" w:pos="4419"/>
          <w:tab w:val="right" w:pos="8838"/>
        </w:tabs>
        <w:spacing w:after="0" w:line="276" w:lineRule="auto"/>
        <w:contextualSpacing/>
        <w:rPr>
          <w:rFonts w:ascii="Arial" w:eastAsia="Calibri" w:hAnsi="Arial" w:cs="Arial"/>
          <w:kern w:val="0"/>
          <w:sz w:val="20"/>
          <w:szCs w:val="20"/>
          <w:lang w:val="es-ES"/>
          <w14:ligatures w14:val="none"/>
        </w:rPr>
      </w:pPr>
    </w:p>
    <w:p w14:paraId="65E9BACC" w14:textId="77777777" w:rsidR="005B537B" w:rsidRDefault="005B537B" w:rsidP="00E04896">
      <w:pPr>
        <w:spacing w:line="276" w:lineRule="auto"/>
        <w:jc w:val="center"/>
        <w:rPr>
          <w:rFonts w:ascii="Arial" w:hAnsi="Arial" w:cs="Arial"/>
          <w:b/>
          <w:bCs/>
          <w:sz w:val="28"/>
          <w:szCs w:val="28"/>
        </w:rPr>
      </w:pPr>
    </w:p>
    <w:p w14:paraId="66062798" w14:textId="77777777" w:rsidR="0073259F" w:rsidRDefault="0073259F" w:rsidP="00E04896">
      <w:pPr>
        <w:spacing w:line="276" w:lineRule="auto"/>
        <w:jc w:val="center"/>
        <w:rPr>
          <w:rFonts w:ascii="Arial" w:hAnsi="Arial" w:cs="Arial"/>
          <w:b/>
          <w:bCs/>
          <w:sz w:val="28"/>
          <w:szCs w:val="28"/>
        </w:rPr>
      </w:pPr>
    </w:p>
    <w:p w14:paraId="015D97EA" w14:textId="77777777" w:rsidR="0073259F" w:rsidRDefault="0073259F" w:rsidP="00E04896">
      <w:pPr>
        <w:spacing w:line="276" w:lineRule="auto"/>
        <w:jc w:val="center"/>
        <w:rPr>
          <w:rFonts w:ascii="Arial" w:hAnsi="Arial" w:cs="Arial"/>
          <w:b/>
          <w:bCs/>
          <w:sz w:val="28"/>
          <w:szCs w:val="28"/>
        </w:rPr>
      </w:pPr>
    </w:p>
    <w:p w14:paraId="62C43506" w14:textId="46F7DC85" w:rsidR="002C1697" w:rsidRDefault="002C1697">
      <w:pPr>
        <w:rPr>
          <w:rFonts w:ascii="Arial" w:hAnsi="Arial" w:cs="Arial"/>
          <w:b/>
          <w:bCs/>
        </w:rPr>
      </w:pPr>
      <w:r>
        <w:rPr>
          <w:rFonts w:ascii="Arial" w:hAnsi="Arial" w:cs="Arial"/>
          <w:b/>
          <w:bCs/>
        </w:rPr>
        <w:br w:type="page"/>
      </w:r>
    </w:p>
    <w:p w14:paraId="1664C664" w14:textId="0DF3F329" w:rsidR="001F214F" w:rsidRPr="002C1697" w:rsidRDefault="005F5AEF" w:rsidP="002C1697">
      <w:pPr>
        <w:pStyle w:val="Ttulo1"/>
        <w:spacing w:line="360" w:lineRule="auto"/>
        <w:jc w:val="both"/>
        <w:rPr>
          <w:b/>
          <w:bCs/>
        </w:rPr>
      </w:pPr>
      <w:bookmarkStart w:id="2" w:name="_Toc202867715"/>
      <w:r w:rsidRPr="002C1697">
        <w:rPr>
          <w:b/>
          <w:bCs/>
        </w:rPr>
        <w:lastRenderedPageBreak/>
        <w:t>Reunión con el Rector</w:t>
      </w:r>
      <w:r w:rsidR="0073259F" w:rsidRPr="002C1697">
        <w:rPr>
          <w:b/>
          <w:bCs/>
        </w:rPr>
        <w:t xml:space="preserve"> de la Universidad del Ártico: Dag Rune Olsen</w:t>
      </w:r>
      <w:bookmarkEnd w:id="2"/>
    </w:p>
    <w:p w14:paraId="2B691D04" w14:textId="77777777" w:rsidR="0073259F" w:rsidRPr="0073259F" w:rsidRDefault="0073259F" w:rsidP="002C1697">
      <w:pPr>
        <w:pStyle w:val="Prrafodelista"/>
        <w:spacing w:line="360" w:lineRule="auto"/>
        <w:jc w:val="both"/>
        <w:rPr>
          <w:rFonts w:ascii="Arial" w:hAnsi="Arial" w:cs="Arial"/>
          <w:b/>
          <w:bCs/>
          <w:sz w:val="20"/>
          <w:szCs w:val="20"/>
        </w:rPr>
      </w:pPr>
    </w:p>
    <w:p w14:paraId="67636E8E" w14:textId="0B1D3CB6" w:rsidR="00AB0DBA" w:rsidRPr="00D273B4" w:rsidRDefault="001F214F" w:rsidP="00D273B4">
      <w:pPr>
        <w:spacing w:line="360" w:lineRule="auto"/>
        <w:jc w:val="both"/>
        <w:rPr>
          <w:rFonts w:ascii="Arial" w:hAnsi="Arial" w:cs="Arial"/>
          <w:sz w:val="20"/>
          <w:szCs w:val="20"/>
        </w:rPr>
      </w:pPr>
      <w:r w:rsidRPr="00D273B4">
        <w:rPr>
          <w:rFonts w:ascii="Arial" w:hAnsi="Arial" w:cs="Arial"/>
          <w:sz w:val="20"/>
          <w:szCs w:val="20"/>
        </w:rPr>
        <w:t>Reunión con el rector de la UIT:</w:t>
      </w:r>
      <w:r w:rsidR="00336955" w:rsidRPr="00D273B4">
        <w:rPr>
          <w:rFonts w:ascii="Arial" w:hAnsi="Arial" w:cs="Arial"/>
          <w:sz w:val="20"/>
          <w:szCs w:val="20"/>
        </w:rPr>
        <w:t xml:space="preserve"> </w:t>
      </w:r>
      <w:r w:rsidR="005F507A" w:rsidRPr="00D273B4">
        <w:rPr>
          <w:rFonts w:ascii="Arial" w:hAnsi="Arial" w:cs="Arial"/>
          <w:sz w:val="20"/>
          <w:szCs w:val="20"/>
        </w:rPr>
        <w:t>Durante la reunión con el rector, se subrayaron los puntos de convergencia entre la Universidad de Tromsø y nuestra institución, especialmente en el ámbito de los estudios en zonas extremas, la vinculación con las comunidades locales y, en el caso de Tromsø, su proyección internacional. Se nos presentó</w:t>
      </w:r>
      <w:r w:rsidR="00AB0DBA" w:rsidRPr="00D273B4">
        <w:rPr>
          <w:rFonts w:ascii="Arial" w:hAnsi="Arial" w:cs="Arial"/>
          <w:sz w:val="20"/>
          <w:szCs w:val="20"/>
        </w:rPr>
        <w:t xml:space="preserve"> la Universidad con sus sedes</w:t>
      </w:r>
      <w:r w:rsidR="00D273B4">
        <w:rPr>
          <w:rFonts w:ascii="Arial" w:hAnsi="Arial" w:cs="Arial"/>
          <w:sz w:val="20"/>
          <w:szCs w:val="20"/>
        </w:rPr>
        <w:t xml:space="preserve">. </w:t>
      </w:r>
      <w:r w:rsidR="00AB0DBA" w:rsidRPr="00D273B4">
        <w:rPr>
          <w:rFonts w:ascii="Arial" w:hAnsi="Arial" w:cs="Arial"/>
          <w:sz w:val="20"/>
          <w:szCs w:val="20"/>
        </w:rPr>
        <w:t xml:space="preserve">La Universidad de Tromsø está organizada en </w:t>
      </w:r>
      <w:r w:rsidR="00D273B4">
        <w:rPr>
          <w:rFonts w:ascii="Arial" w:hAnsi="Arial" w:cs="Arial"/>
          <w:sz w:val="20"/>
          <w:szCs w:val="20"/>
        </w:rPr>
        <w:t>seis</w:t>
      </w:r>
      <w:r w:rsidR="00AB0DBA" w:rsidRPr="00D273B4">
        <w:rPr>
          <w:rFonts w:ascii="Arial" w:hAnsi="Arial" w:cs="Arial"/>
          <w:sz w:val="20"/>
          <w:szCs w:val="20"/>
        </w:rPr>
        <w:t xml:space="preserve"> facultades: Ciencias de la Salud / Derecho /Bellas Artes /Biología, Pesca y Economía/Humanidades, Ciencias Sociales y Educación/Ciencia y Tecnología.</w:t>
      </w:r>
    </w:p>
    <w:p w14:paraId="46ED5926" w14:textId="770FC720" w:rsidR="001F214F" w:rsidRPr="00D273B4" w:rsidRDefault="00A616D4" w:rsidP="00D273B4">
      <w:pPr>
        <w:spacing w:line="360" w:lineRule="auto"/>
        <w:jc w:val="both"/>
        <w:rPr>
          <w:rFonts w:ascii="Arial" w:hAnsi="Arial" w:cs="Arial"/>
          <w:sz w:val="20"/>
          <w:szCs w:val="20"/>
        </w:rPr>
      </w:pPr>
      <w:r w:rsidRPr="00D273B4">
        <w:rPr>
          <w:rFonts w:ascii="Arial" w:hAnsi="Arial" w:cs="Arial"/>
          <w:sz w:val="20"/>
          <w:szCs w:val="20"/>
        </w:rPr>
        <w:t>La Universidad de Tromsø atrae a una proporción significativa de los estudiantes del norte de Noruega y define su misión formativa como la de “educar”: su función principal es ofrecer enseñanza tanto a la población noruega como a los estudiantes internacionales interesados en sus programas, especialmente de postgrado. Además, imparte estudios de posgrado únicos en áreas como Ciencias de la Paz, Ciencias de la Pesca y Culturas Indígenas.</w:t>
      </w:r>
    </w:p>
    <w:p w14:paraId="298AB920" w14:textId="27AD84C3" w:rsidR="00A616D4" w:rsidRDefault="005F5AEF" w:rsidP="00D273B4">
      <w:pPr>
        <w:spacing w:line="360" w:lineRule="auto"/>
        <w:jc w:val="both"/>
        <w:rPr>
          <w:rFonts w:ascii="Arial" w:hAnsi="Arial" w:cs="Arial"/>
          <w:sz w:val="20"/>
          <w:szCs w:val="20"/>
        </w:rPr>
      </w:pPr>
      <w:r w:rsidRPr="00D273B4">
        <w:rPr>
          <w:rFonts w:ascii="Arial" w:hAnsi="Arial" w:cs="Arial"/>
          <w:sz w:val="20"/>
          <w:szCs w:val="20"/>
        </w:rPr>
        <w:t>Se manifestó la voluntad de establecer un memorándum de entendimiento para colaborar internacionalmente con la Universidad de Tromsø. Aunque reconocen que nuestro nivel de desarrollo en investigación aún no alcanza sus indicadores, nos consideran un socio de interés y vislumbran alianzas prometedoras. Proponen iniciar la colaboración a través de intercambios educativos —especialmente movilidad de estudiantes de posgrado— y exploran proyectos conjuntos en áreas como telemedicina y programas de capacitación dirigidos a comunidades de zonas extremas.</w:t>
      </w:r>
    </w:p>
    <w:p w14:paraId="46965BB4" w14:textId="7A37CCA0" w:rsidR="00D273B4" w:rsidRDefault="00420F81" w:rsidP="00D273B4">
      <w:pPr>
        <w:spacing w:line="360" w:lineRule="auto"/>
        <w:jc w:val="both"/>
        <w:rPr>
          <w:rFonts w:ascii="Arial" w:hAnsi="Arial" w:cs="Arial"/>
          <w:sz w:val="20"/>
          <w:szCs w:val="20"/>
        </w:rPr>
      </w:pPr>
      <w:r>
        <w:rPr>
          <w:rFonts w:ascii="Arial" w:hAnsi="Arial" w:cs="Arial"/>
          <w:sz w:val="20"/>
          <w:szCs w:val="20"/>
        </w:rPr>
        <w:t>El</w:t>
      </w:r>
      <w:r w:rsidR="00D273B4">
        <w:rPr>
          <w:rFonts w:ascii="Arial" w:hAnsi="Arial" w:cs="Arial"/>
          <w:sz w:val="20"/>
          <w:szCs w:val="20"/>
        </w:rPr>
        <w:t xml:space="preserve"> programa </w:t>
      </w:r>
      <w:r w:rsidR="00D273B4" w:rsidRPr="00D273B4">
        <w:rPr>
          <w:rFonts w:ascii="Arial" w:hAnsi="Arial" w:cs="Arial"/>
          <w:sz w:val="20"/>
          <w:szCs w:val="20"/>
        </w:rPr>
        <w:t>Eallju – Drivkraft i nord (traducida como Eallju – Impulsando el Norte) es el plan estratégico de la Universidad Ártica de Noruega (UiT) para el período 2022–2030. El término "eallju", proveniente del idioma sami septentrional, significa "ímpetu para trabajar", reflejando el compromiso de la universidad con el desarrollo sostenible y equitativo del norte de Noruega y el Ártico.</w:t>
      </w:r>
    </w:p>
    <w:p w14:paraId="7683B846" w14:textId="53360D67" w:rsidR="00D273B4" w:rsidRDefault="00D273B4" w:rsidP="00D273B4">
      <w:pPr>
        <w:spacing w:line="360" w:lineRule="auto"/>
        <w:jc w:val="both"/>
        <w:rPr>
          <w:rFonts w:ascii="Arial" w:hAnsi="Arial" w:cs="Arial"/>
          <w:sz w:val="20"/>
          <w:szCs w:val="20"/>
        </w:rPr>
      </w:pPr>
      <w:r>
        <w:rPr>
          <w:rFonts w:ascii="Arial" w:hAnsi="Arial" w:cs="Arial"/>
          <w:sz w:val="20"/>
          <w:szCs w:val="20"/>
        </w:rPr>
        <w:t>Su</w:t>
      </w:r>
      <w:r w:rsidRPr="00D273B4">
        <w:rPr>
          <w:rFonts w:ascii="Arial" w:hAnsi="Arial" w:cs="Arial"/>
          <w:sz w:val="20"/>
          <w:szCs w:val="20"/>
        </w:rPr>
        <w:t xml:space="preserve"> modelo de gestión integral promueve la interdisciplinariedad y la colaboración entre sus diversas facultades. Este enfoque se refleja en centros como el Arctic Centre for Sustainable Energy (ARC), que reúne expertos en física, química, ciencias sociales, biología marina e ingeniería para abordar desafíos energéticos en el Ártico</w:t>
      </w:r>
      <w:r>
        <w:rPr>
          <w:rFonts w:ascii="Arial" w:hAnsi="Arial" w:cs="Arial"/>
          <w:sz w:val="20"/>
          <w:szCs w:val="20"/>
        </w:rPr>
        <w:t xml:space="preserve">, el IC3 </w:t>
      </w:r>
      <w:r w:rsidRPr="00D273B4">
        <w:rPr>
          <w:rFonts w:ascii="Arial" w:hAnsi="Arial" w:cs="Arial"/>
          <w:sz w:val="20"/>
          <w:szCs w:val="20"/>
        </w:rPr>
        <w:t>Centro para el Hielo, la Criosfera, el Carbono y el Clima</w:t>
      </w:r>
      <w:r>
        <w:rPr>
          <w:rFonts w:ascii="Arial" w:hAnsi="Arial" w:cs="Arial"/>
          <w:sz w:val="20"/>
          <w:szCs w:val="20"/>
        </w:rPr>
        <w:t xml:space="preserve">: </w:t>
      </w:r>
      <w:r w:rsidRPr="00D273B4">
        <w:rPr>
          <w:rFonts w:ascii="Arial" w:hAnsi="Arial" w:cs="Arial"/>
          <w:sz w:val="20"/>
          <w:szCs w:val="20"/>
        </w:rPr>
        <w:t>es un centro de excelencia de la UiT, la Universidad ártica de Noruega, dedicado a la investigación del papel de las capas de hielo en el presupuesto global de carbono y su impacto en el clima y los ecosistemas oceánicos</w:t>
      </w:r>
      <w:r w:rsidR="00420F81">
        <w:rPr>
          <w:rFonts w:ascii="Arial" w:hAnsi="Arial" w:cs="Arial"/>
          <w:sz w:val="20"/>
          <w:szCs w:val="20"/>
        </w:rPr>
        <w:t xml:space="preserve">. También se citan otros centros con relevancia en educación: </w:t>
      </w:r>
      <w:r w:rsidR="00420F81" w:rsidRPr="00420F81">
        <w:rPr>
          <w:rFonts w:ascii="Arial" w:hAnsi="Arial" w:cs="Arial"/>
          <w:sz w:val="20"/>
          <w:szCs w:val="20"/>
        </w:rPr>
        <w:t>COAST se refiere a la iniciativa de investigación "Coastal Communities and Ecosystems in a Changing Arctic", que forma parte de UArctic y se centra en el impacto del cambio climático en las comunidades costeras árticas</w:t>
      </w:r>
      <w:r w:rsidR="00420F81">
        <w:rPr>
          <w:rFonts w:ascii="Arial" w:hAnsi="Arial" w:cs="Arial"/>
          <w:sz w:val="20"/>
          <w:szCs w:val="20"/>
        </w:rPr>
        <w:t>.</w:t>
      </w:r>
    </w:p>
    <w:p w14:paraId="4C830F21" w14:textId="4ABDE129" w:rsidR="00420F81" w:rsidRDefault="00420F81" w:rsidP="00D273B4">
      <w:pPr>
        <w:spacing w:line="360" w:lineRule="auto"/>
        <w:jc w:val="both"/>
        <w:rPr>
          <w:rFonts w:ascii="Arial" w:hAnsi="Arial" w:cs="Arial"/>
          <w:sz w:val="20"/>
          <w:szCs w:val="20"/>
        </w:rPr>
      </w:pPr>
      <w:r>
        <w:rPr>
          <w:rFonts w:ascii="Arial" w:hAnsi="Arial" w:cs="Arial"/>
          <w:sz w:val="20"/>
          <w:szCs w:val="20"/>
        </w:rPr>
        <w:t>Destacamos el portal Open Access para publicaciones y acceso abierto, el objetivo es fomentar el conocimiento abierto, e</w:t>
      </w:r>
      <w:r w:rsidRPr="00420F81">
        <w:rPr>
          <w:rFonts w:ascii="Arial" w:hAnsi="Arial" w:cs="Arial"/>
          <w:sz w:val="20"/>
          <w:szCs w:val="20"/>
        </w:rPr>
        <w:t xml:space="preserve">l portal es una colaboración entre la División de Investigación, Educación y Comunicación y la Biblioteca </w:t>
      </w:r>
      <w:r w:rsidRPr="00420F81">
        <w:rPr>
          <w:rFonts w:ascii="Arial" w:hAnsi="Arial" w:cs="Arial"/>
          <w:sz w:val="20"/>
          <w:szCs w:val="20"/>
        </w:rPr>
        <w:lastRenderedPageBreak/>
        <w:t>Universitaria</w:t>
      </w:r>
      <w:r w:rsidR="0051731E">
        <w:rPr>
          <w:rFonts w:ascii="Arial" w:hAnsi="Arial" w:cs="Arial"/>
          <w:sz w:val="20"/>
          <w:szCs w:val="20"/>
        </w:rPr>
        <w:t xml:space="preserve">, este es el resultado del impulso de políticas públicas, el Rector afirma que se hace evidente el crecimiento de la producción científica gracias a esta postura. </w:t>
      </w:r>
    </w:p>
    <w:p w14:paraId="405FE75F" w14:textId="37FE40A1" w:rsidR="000A64AE" w:rsidRDefault="000A64AE" w:rsidP="00D273B4">
      <w:pPr>
        <w:spacing w:line="360" w:lineRule="auto"/>
        <w:jc w:val="both"/>
        <w:rPr>
          <w:rFonts w:ascii="Arial" w:hAnsi="Arial" w:cs="Arial"/>
          <w:sz w:val="20"/>
          <w:szCs w:val="20"/>
        </w:rPr>
      </w:pPr>
      <w:r>
        <w:rPr>
          <w:rFonts w:ascii="Arial" w:hAnsi="Arial" w:cs="Arial"/>
          <w:sz w:val="20"/>
          <w:szCs w:val="20"/>
        </w:rPr>
        <w:t xml:space="preserve">Asimismo se indica la participación de la Universidad en el programa HORIZON EUROPE, destinado a robustecer las universidades europeas, con base en la colaboración entre los países, abordando desafíos globales, hay aréas en donde se prioriza esta colaboración: biomedicina, medicina y el estudio de los océanos. </w:t>
      </w:r>
    </w:p>
    <w:p w14:paraId="5E23159A" w14:textId="280C186A" w:rsidR="000A64AE" w:rsidRDefault="0051731E" w:rsidP="00D273B4">
      <w:pPr>
        <w:spacing w:line="360" w:lineRule="auto"/>
        <w:jc w:val="both"/>
        <w:rPr>
          <w:rFonts w:ascii="Arial" w:hAnsi="Arial" w:cs="Arial"/>
          <w:sz w:val="20"/>
          <w:szCs w:val="20"/>
        </w:rPr>
      </w:pPr>
      <w:r>
        <w:rPr>
          <w:rFonts w:ascii="Arial" w:hAnsi="Arial" w:cs="Arial"/>
          <w:sz w:val="20"/>
          <w:szCs w:val="20"/>
        </w:rPr>
        <w:t>Se cierra la presentación del Rector con la presentación del programa: “</w:t>
      </w:r>
      <w:r>
        <w:rPr>
          <w:rFonts w:ascii="Arial" w:hAnsi="Arial" w:cs="Arial"/>
          <w:b/>
          <w:bCs/>
          <w:sz w:val="20"/>
          <w:szCs w:val="20"/>
        </w:rPr>
        <w:t xml:space="preserve">Artic Future Pathfinders” </w:t>
      </w:r>
      <w:r>
        <w:rPr>
          <w:rFonts w:ascii="Arial" w:hAnsi="Arial" w:cs="Arial"/>
          <w:sz w:val="20"/>
          <w:szCs w:val="20"/>
        </w:rPr>
        <w:t>el cuál e</w:t>
      </w:r>
      <w:r w:rsidRPr="0051731E">
        <w:rPr>
          <w:rFonts w:ascii="Arial" w:hAnsi="Arial" w:cs="Arial"/>
          <w:sz w:val="20"/>
          <w:szCs w:val="20"/>
        </w:rPr>
        <w:t>stá vinculado a la iniciativa Noruega del Océano Ártico 2050 y al próximo Año Polar Internacional en 2032/33, con el objetivo de capacitar a estudiantes y jóvenes académicos para que se conviertan en investigadores esenciales del Ártico. El curso se centra en las competencias de colaboración inter y transdisciplinaria y las habilidades de anticipación, dirigido a estudiantes de maestría y candidatos a doctorado. También se llevará a cabo una investigación a bordo del barco.</w:t>
      </w:r>
    </w:p>
    <w:p w14:paraId="004C2918" w14:textId="5F4BDF3F" w:rsidR="0051731E" w:rsidRPr="0051731E" w:rsidRDefault="0051731E" w:rsidP="00D273B4">
      <w:pPr>
        <w:spacing w:line="360" w:lineRule="auto"/>
        <w:jc w:val="both"/>
        <w:rPr>
          <w:rFonts w:ascii="Arial" w:hAnsi="Arial" w:cs="Arial"/>
          <w:b/>
          <w:bCs/>
          <w:sz w:val="20"/>
          <w:szCs w:val="20"/>
        </w:rPr>
      </w:pPr>
      <w:r>
        <w:rPr>
          <w:rFonts w:ascii="Arial" w:hAnsi="Arial" w:cs="Arial"/>
          <w:sz w:val="20"/>
          <w:szCs w:val="20"/>
        </w:rPr>
        <w:t xml:space="preserve">Como conclusión general, el Rector de la Universidad del Ártico, resalta la importancia de la educación y de la continuidad de la identidad de los estudiantes y su emplazamiento en el norte de Noruega, la Universidad hace grandes esfuerzos para mantener y destacarse en disciplinas como la salud, la medicina, el derecho y la farmacología. </w:t>
      </w:r>
    </w:p>
    <w:p w14:paraId="3DEFBE18" w14:textId="52BB8E7C" w:rsidR="0073259F" w:rsidRPr="002C1697" w:rsidRDefault="0073259F" w:rsidP="002C1697">
      <w:pPr>
        <w:pStyle w:val="Ttulo1"/>
        <w:spacing w:line="360" w:lineRule="auto"/>
        <w:jc w:val="both"/>
        <w:rPr>
          <w:rFonts w:eastAsiaTheme="minorHAnsi"/>
          <w:b/>
          <w:bCs/>
        </w:rPr>
      </w:pPr>
      <w:bookmarkStart w:id="3" w:name="_Toc202867716"/>
      <w:r w:rsidRPr="002C1697">
        <w:rPr>
          <w:rFonts w:eastAsia="Calibri"/>
          <w:b/>
          <w:bCs/>
          <w:lang w:val="es-ES"/>
        </w:rPr>
        <w:t xml:space="preserve">Reunión con el Departamento de Medicina Comunitaria Profesor de Salud Global y Epidemiología: Erik </w:t>
      </w:r>
      <w:proofErr w:type="spellStart"/>
      <w:r w:rsidRPr="002C1697">
        <w:rPr>
          <w:rFonts w:eastAsia="Calibri"/>
          <w:b/>
          <w:bCs/>
          <w:lang w:val="es-ES"/>
        </w:rPr>
        <w:t>Eik</w:t>
      </w:r>
      <w:proofErr w:type="spellEnd"/>
      <w:r w:rsidRPr="002C1697">
        <w:rPr>
          <w:rFonts w:eastAsia="Calibri"/>
          <w:b/>
          <w:bCs/>
          <w:lang w:val="es-ES"/>
        </w:rPr>
        <w:t xml:space="preserve"> Anda de la Universidad del Ártico </w:t>
      </w:r>
      <w:proofErr w:type="spellStart"/>
      <w:r w:rsidRPr="002C1697">
        <w:rPr>
          <w:rFonts w:eastAsia="Calibri"/>
          <w:b/>
          <w:bCs/>
          <w:lang w:val="es-ES"/>
        </w:rPr>
        <w:t>UiT</w:t>
      </w:r>
      <w:bookmarkEnd w:id="3"/>
      <w:proofErr w:type="spellEnd"/>
    </w:p>
    <w:p w14:paraId="4647132E" w14:textId="77777777" w:rsidR="0051731E" w:rsidRDefault="000C3C9C" w:rsidP="00D273B4">
      <w:pPr>
        <w:tabs>
          <w:tab w:val="num" w:pos="720"/>
        </w:tabs>
        <w:spacing w:line="360" w:lineRule="auto"/>
        <w:jc w:val="both"/>
        <w:rPr>
          <w:rFonts w:ascii="Arial" w:hAnsi="Arial" w:cs="Arial"/>
          <w:sz w:val="20"/>
          <w:szCs w:val="20"/>
        </w:rPr>
      </w:pPr>
      <w:r w:rsidRPr="00D273B4">
        <w:rPr>
          <w:rFonts w:ascii="Arial" w:hAnsi="Arial" w:cs="Arial"/>
          <w:sz w:val="20"/>
          <w:szCs w:val="20"/>
        </w:rPr>
        <w:t>El Departamento de Medicina Comunitaria, adscrito a la Facultad de Ciencias de la Salud, cuenta con alrededor de 230 profesionales entre investigadores, docentes y personal administrativo</w:t>
      </w:r>
      <w:r w:rsidR="006A01E0" w:rsidRPr="00D273B4">
        <w:rPr>
          <w:rFonts w:ascii="Arial" w:hAnsi="Arial" w:cs="Arial"/>
          <w:sz w:val="20"/>
          <w:szCs w:val="20"/>
        </w:rPr>
        <w:t xml:space="preserve">. </w:t>
      </w:r>
      <w:r w:rsidRPr="00D273B4">
        <w:rPr>
          <w:rFonts w:ascii="Arial" w:hAnsi="Arial" w:cs="Arial"/>
          <w:sz w:val="20"/>
          <w:szCs w:val="20"/>
        </w:rPr>
        <w:t>Sus principales funciones incluyen:</w:t>
      </w:r>
      <w:r w:rsidR="006A01E0" w:rsidRPr="00D273B4">
        <w:rPr>
          <w:rFonts w:ascii="Arial" w:hAnsi="Arial" w:cs="Arial"/>
          <w:sz w:val="20"/>
          <w:szCs w:val="20"/>
        </w:rPr>
        <w:t xml:space="preserve"> </w:t>
      </w:r>
    </w:p>
    <w:p w14:paraId="485088EC" w14:textId="02BDCBFB" w:rsidR="0051731E" w:rsidRDefault="000C3C9C" w:rsidP="00D273B4">
      <w:pPr>
        <w:tabs>
          <w:tab w:val="num" w:pos="720"/>
        </w:tabs>
        <w:spacing w:line="360" w:lineRule="auto"/>
        <w:jc w:val="both"/>
        <w:rPr>
          <w:rFonts w:ascii="Arial" w:hAnsi="Arial" w:cs="Arial"/>
          <w:sz w:val="20"/>
          <w:szCs w:val="20"/>
        </w:rPr>
      </w:pPr>
      <w:r w:rsidRPr="00D273B4">
        <w:rPr>
          <w:rFonts w:ascii="Arial" w:hAnsi="Arial" w:cs="Arial"/>
          <w:b/>
          <w:bCs/>
          <w:sz w:val="20"/>
          <w:szCs w:val="20"/>
        </w:rPr>
        <w:t>Investigación epidemiológica y de salud poblacional</w:t>
      </w:r>
      <w:r w:rsidRPr="00D273B4">
        <w:rPr>
          <w:rFonts w:ascii="Arial" w:hAnsi="Arial" w:cs="Arial"/>
          <w:sz w:val="20"/>
          <w:szCs w:val="20"/>
        </w:rPr>
        <w:t>: lidera cuatro grandes estudios de cohorte (Tromsø Study, NOWAC, Fit Futures y SAMINOR), aportando datos clave sobre enfermedades crónicas, cáncer, salud de poblaciones indígenas y jóvenes en la región ártica</w:t>
      </w:r>
      <w:r w:rsidR="006A01E0" w:rsidRPr="00D273B4">
        <w:rPr>
          <w:rFonts w:ascii="Arial" w:hAnsi="Arial" w:cs="Arial"/>
          <w:sz w:val="20"/>
          <w:szCs w:val="20"/>
        </w:rPr>
        <w:t xml:space="preserve"> </w:t>
      </w:r>
    </w:p>
    <w:p w14:paraId="4C30D17E" w14:textId="77777777" w:rsidR="0051731E" w:rsidRDefault="000C3C9C" w:rsidP="00D273B4">
      <w:pPr>
        <w:tabs>
          <w:tab w:val="num" w:pos="720"/>
        </w:tabs>
        <w:spacing w:line="360" w:lineRule="auto"/>
        <w:jc w:val="both"/>
        <w:rPr>
          <w:rFonts w:ascii="Arial" w:hAnsi="Arial" w:cs="Arial"/>
          <w:sz w:val="20"/>
          <w:szCs w:val="20"/>
        </w:rPr>
      </w:pPr>
      <w:r w:rsidRPr="00D273B4">
        <w:rPr>
          <w:rFonts w:ascii="Arial" w:hAnsi="Arial" w:cs="Arial"/>
          <w:b/>
          <w:bCs/>
          <w:sz w:val="20"/>
          <w:szCs w:val="20"/>
        </w:rPr>
        <w:t>Docencia</w:t>
      </w:r>
      <w:r w:rsidRPr="00D273B4">
        <w:rPr>
          <w:rFonts w:ascii="Arial" w:hAnsi="Arial" w:cs="Arial"/>
          <w:sz w:val="20"/>
          <w:szCs w:val="20"/>
        </w:rPr>
        <w:t>: organiza y dicta programas de pregrado y posgrado en salud pública, medicina familiar y nutrición, además de cursos de doctorado</w:t>
      </w:r>
      <w:r w:rsidR="006A01E0" w:rsidRPr="00D273B4">
        <w:rPr>
          <w:rFonts w:ascii="Arial" w:hAnsi="Arial" w:cs="Arial"/>
          <w:sz w:val="20"/>
          <w:szCs w:val="20"/>
        </w:rPr>
        <w:t xml:space="preserve"> </w:t>
      </w:r>
    </w:p>
    <w:p w14:paraId="14B1C420" w14:textId="77777777" w:rsidR="0051731E" w:rsidRDefault="000C3C9C" w:rsidP="00D273B4">
      <w:pPr>
        <w:tabs>
          <w:tab w:val="num" w:pos="720"/>
        </w:tabs>
        <w:spacing w:line="360" w:lineRule="auto"/>
        <w:jc w:val="both"/>
        <w:rPr>
          <w:rFonts w:ascii="Arial" w:hAnsi="Arial" w:cs="Arial"/>
          <w:sz w:val="20"/>
          <w:szCs w:val="20"/>
        </w:rPr>
      </w:pPr>
      <w:r w:rsidRPr="00D273B4">
        <w:rPr>
          <w:rFonts w:ascii="Arial" w:hAnsi="Arial" w:cs="Arial"/>
          <w:b/>
          <w:bCs/>
          <w:sz w:val="20"/>
          <w:szCs w:val="20"/>
        </w:rPr>
        <w:t>Facilitación de infraestructuras de investigación</w:t>
      </w:r>
      <w:r w:rsidRPr="00D273B4">
        <w:rPr>
          <w:rFonts w:ascii="Arial" w:hAnsi="Arial" w:cs="Arial"/>
          <w:sz w:val="20"/>
          <w:szCs w:val="20"/>
        </w:rPr>
        <w:t>: administra tres unidades centrales —EUTRO, la biobanca y la unidad de estudios de población— que dan acceso a datos y muestras a investigadores nacionales e internacional</w:t>
      </w:r>
      <w:r w:rsidR="006A01E0" w:rsidRPr="00D273B4">
        <w:rPr>
          <w:rFonts w:ascii="Arial" w:hAnsi="Arial" w:cs="Arial"/>
          <w:sz w:val="20"/>
          <w:szCs w:val="20"/>
        </w:rPr>
        <w:t xml:space="preserve">es. </w:t>
      </w:r>
    </w:p>
    <w:p w14:paraId="5E201FED" w14:textId="77777777" w:rsidR="00BE1E0B" w:rsidRDefault="000C3C9C" w:rsidP="00D273B4">
      <w:pPr>
        <w:tabs>
          <w:tab w:val="num" w:pos="720"/>
        </w:tabs>
        <w:spacing w:line="360" w:lineRule="auto"/>
        <w:jc w:val="both"/>
        <w:rPr>
          <w:rFonts w:ascii="Arial" w:hAnsi="Arial" w:cs="Arial"/>
          <w:sz w:val="20"/>
          <w:szCs w:val="20"/>
        </w:rPr>
      </w:pPr>
      <w:r w:rsidRPr="00D273B4">
        <w:rPr>
          <w:rFonts w:ascii="Arial" w:hAnsi="Arial" w:cs="Arial"/>
          <w:b/>
          <w:bCs/>
          <w:sz w:val="20"/>
          <w:szCs w:val="20"/>
        </w:rPr>
        <w:t>Colaboración y transferencia de conocimiento</w:t>
      </w:r>
      <w:r w:rsidRPr="00D273B4">
        <w:rPr>
          <w:rFonts w:ascii="Arial" w:hAnsi="Arial" w:cs="Arial"/>
          <w:sz w:val="20"/>
          <w:szCs w:val="20"/>
        </w:rPr>
        <w:t>: desarrolla líneas de investigación en salud ocupacional, economía de la salud, humanidades médicas y medicina global, y promueve alianzas con organismos públicos y privados para mejorar la salud comunitaria en contextos de alta latitud.</w:t>
      </w:r>
      <w:r w:rsidR="006A01E0" w:rsidRPr="00D273B4">
        <w:rPr>
          <w:rFonts w:ascii="Arial" w:hAnsi="Arial" w:cs="Arial"/>
          <w:sz w:val="20"/>
          <w:szCs w:val="20"/>
        </w:rPr>
        <w:t xml:space="preserve"> El </w:t>
      </w:r>
      <w:r w:rsidRPr="00D273B4">
        <w:rPr>
          <w:rFonts w:ascii="Arial" w:hAnsi="Arial" w:cs="Arial"/>
          <w:sz w:val="20"/>
          <w:szCs w:val="20"/>
        </w:rPr>
        <w:t>departamento articula investigación, docencia y servicios de apoyo para abordar los retos sanitarios de las poblaciones locales y contribuir a políticas de salud basadas en evidencia.</w:t>
      </w:r>
      <w:r w:rsidR="0041519C" w:rsidRPr="00D273B4">
        <w:rPr>
          <w:rFonts w:ascii="Arial" w:hAnsi="Arial" w:cs="Arial"/>
          <w:sz w:val="20"/>
          <w:szCs w:val="20"/>
        </w:rPr>
        <w:t xml:space="preserve"> El Magíster en Salud Pública de la Universidad de Tromsø es un programa de dos años (120 ECTS) que ofrece un plan de estudios flexible y multidisciplinario para abordar los desafíos </w:t>
      </w:r>
      <w:r w:rsidR="0041519C" w:rsidRPr="00D273B4">
        <w:rPr>
          <w:rFonts w:ascii="Arial" w:hAnsi="Arial" w:cs="Arial"/>
          <w:sz w:val="20"/>
          <w:szCs w:val="20"/>
        </w:rPr>
        <w:lastRenderedPageBreak/>
        <w:t>sanitarios actuales. Durante el primer año, los estudiantes cursan seis asignaturas obligatorias (60 ECTS) en áreas clave como epidemiología, economía de la salud y políticas sanitarias, métodos de investigación cuantitativos y cualitativos, salud global y ambiental, e innovación sostenible. A continuación, pueden especializarse en uno de tres itinerarios —Epidemiología y Ciencia de Datos; Economía de la Salud; o Promoción de la Salud y Prevención de Enfermedades—, completando entre 15 y 20 ECTS de materias específicas, y el resto con optativas o mediante un intercambio académico que sustituya la especialización. El cuarto semestre se dedica íntegramente a la elaboración de la tesis (30 ECTS), que puede basarse en datos empíricos, en una revisión bibliográfica o en un proyecto teórico.</w:t>
      </w:r>
      <w:r w:rsidR="0032568B" w:rsidRPr="00D273B4">
        <w:rPr>
          <w:rFonts w:ascii="Arial" w:hAnsi="Arial" w:cs="Arial"/>
          <w:sz w:val="20"/>
          <w:szCs w:val="20"/>
        </w:rPr>
        <w:t xml:space="preserve"> </w:t>
      </w:r>
    </w:p>
    <w:p w14:paraId="6DDEE910" w14:textId="332CF0D6" w:rsidR="000C3C9C" w:rsidRDefault="003B2F1B" w:rsidP="00D273B4">
      <w:pPr>
        <w:tabs>
          <w:tab w:val="num" w:pos="720"/>
        </w:tabs>
        <w:spacing w:line="360" w:lineRule="auto"/>
        <w:jc w:val="both"/>
        <w:rPr>
          <w:rFonts w:ascii="Arial" w:hAnsi="Arial" w:cs="Arial"/>
          <w:sz w:val="20"/>
          <w:szCs w:val="20"/>
        </w:rPr>
      </w:pPr>
      <w:r w:rsidRPr="00D273B4">
        <w:rPr>
          <w:rFonts w:ascii="Arial" w:hAnsi="Arial" w:cs="Arial"/>
          <w:sz w:val="20"/>
          <w:szCs w:val="20"/>
        </w:rPr>
        <w:t xml:space="preserve">La colaboración con este equipo abre la oportunidad de </w:t>
      </w:r>
      <w:r w:rsidRPr="00BE1E0B">
        <w:rPr>
          <w:rFonts w:ascii="Arial" w:hAnsi="Arial" w:cs="Arial"/>
          <w:b/>
          <w:bCs/>
          <w:sz w:val="20"/>
          <w:szCs w:val="20"/>
        </w:rPr>
        <w:t>establecer un programa de movilidad académica entre nuestro Magíster en Bioinformática y el Magíster en Salud Pública de UiT</w:t>
      </w:r>
      <w:r w:rsidRPr="00D273B4">
        <w:rPr>
          <w:rFonts w:ascii="Arial" w:hAnsi="Arial" w:cs="Arial"/>
          <w:sz w:val="20"/>
          <w:szCs w:val="20"/>
        </w:rPr>
        <w:t>, particularmente en su línea de Epidemiología y Ciencia de Datos. Gracias a la orientación sólida hacia el análisis de grandes volúmenes de información en ambos programas, los estudiantes de posgrado podrían complementar su formación mediante estancias cortas o intercambios de semestre, fortaleciendo competencias en modelado estadístico, manejo de datos biomédicos y aplicación de herramientas de inteligencia artificial al estudio de la salud poblacional. Este intercambio no solo enriquecería la perspectiva metodológica de los participantes, sino que también consolidaría la cooperación científica y el desarrollo de proyectos conjuntos en ámbitos tan estratégicos como el monitoreo de enfermedades y la innovación en salud en zonas extremas.</w:t>
      </w:r>
      <w:r w:rsidR="007D5D04" w:rsidRPr="00D273B4">
        <w:rPr>
          <w:rFonts w:ascii="Arial" w:hAnsi="Arial" w:cs="Arial"/>
          <w:sz w:val="20"/>
          <w:szCs w:val="20"/>
        </w:rPr>
        <w:t xml:space="preserve"> Tienen una base de datos nacional epidemiológica enorme y de cohort lo que permite realizar estudios poblaciones a las personas vinculadas a Ciencias de la Salud y cuya base es nutrida por </w:t>
      </w:r>
      <w:r w:rsidR="00996843" w:rsidRPr="00D273B4">
        <w:rPr>
          <w:rFonts w:ascii="Arial" w:hAnsi="Arial" w:cs="Arial"/>
          <w:sz w:val="20"/>
          <w:szCs w:val="20"/>
        </w:rPr>
        <w:t>todas las otras universidades, sedes y sistemas de salud nacionales.</w:t>
      </w:r>
    </w:p>
    <w:p w14:paraId="4060867E" w14:textId="2CAA4C9F" w:rsidR="00BE1E0B" w:rsidRPr="00BE1E0B" w:rsidRDefault="00BE1E0B" w:rsidP="00D273B4">
      <w:pPr>
        <w:tabs>
          <w:tab w:val="num" w:pos="720"/>
        </w:tabs>
        <w:spacing w:line="360" w:lineRule="auto"/>
        <w:jc w:val="both"/>
        <w:rPr>
          <w:rFonts w:ascii="Arial" w:hAnsi="Arial" w:cs="Arial"/>
          <w:sz w:val="20"/>
          <w:szCs w:val="20"/>
        </w:rPr>
      </w:pPr>
      <w:r>
        <w:rPr>
          <w:rFonts w:ascii="Arial" w:hAnsi="Arial" w:cs="Arial"/>
          <w:sz w:val="20"/>
          <w:szCs w:val="20"/>
        </w:rPr>
        <w:t xml:space="preserve">El interés primordial del Departamento de Medicina Comunitaria, es la prevención de enfermedades, con miras a la </w:t>
      </w:r>
      <w:r>
        <w:rPr>
          <w:rFonts w:ascii="Arial" w:hAnsi="Arial" w:cs="Arial"/>
          <w:i/>
          <w:iCs/>
          <w:sz w:val="20"/>
          <w:szCs w:val="20"/>
        </w:rPr>
        <w:t xml:space="preserve">Economía de la Salud. </w:t>
      </w:r>
      <w:r>
        <w:rPr>
          <w:rFonts w:ascii="Arial" w:hAnsi="Arial" w:cs="Arial"/>
          <w:sz w:val="20"/>
          <w:szCs w:val="20"/>
        </w:rPr>
        <w:t xml:space="preserve">Se cuentan con bases de datos, que son utilizados </w:t>
      </w:r>
      <w:r w:rsidR="005A1E56">
        <w:rPr>
          <w:rFonts w:ascii="Arial" w:hAnsi="Arial" w:cs="Arial"/>
          <w:sz w:val="20"/>
          <w:szCs w:val="20"/>
        </w:rPr>
        <w:t>para el estudio de la población, y se busca que estos datos sean suficientemente representativos.</w:t>
      </w:r>
    </w:p>
    <w:p w14:paraId="1DA46708" w14:textId="6181B3AA" w:rsidR="0073259F" w:rsidRPr="002C1697" w:rsidRDefault="0073259F" w:rsidP="002C1697">
      <w:pPr>
        <w:pStyle w:val="Ttulo1"/>
        <w:spacing w:line="360" w:lineRule="auto"/>
        <w:jc w:val="both"/>
        <w:rPr>
          <w:rFonts w:eastAsia="Calibri"/>
          <w:b/>
          <w:bCs/>
          <w:lang w:val="es-ES"/>
        </w:rPr>
      </w:pPr>
      <w:bookmarkStart w:id="4" w:name="_Toc202867717"/>
      <w:r w:rsidRPr="002C1697">
        <w:rPr>
          <w:rFonts w:eastAsia="Calibri"/>
          <w:b/>
          <w:bCs/>
          <w:lang w:val="es-ES"/>
        </w:rPr>
        <w:t xml:space="preserve">Reunión con el Centro de Estudios Sami Profesora de Estudios Indígenas de </w:t>
      </w:r>
      <w:proofErr w:type="spellStart"/>
      <w:r w:rsidRPr="002C1697">
        <w:rPr>
          <w:rFonts w:eastAsia="Calibri"/>
          <w:b/>
          <w:bCs/>
          <w:lang w:val="es-ES"/>
        </w:rPr>
        <w:t>Broderstad</w:t>
      </w:r>
      <w:proofErr w:type="spellEnd"/>
      <w:r w:rsidRPr="002C1697">
        <w:rPr>
          <w:rFonts w:eastAsia="Calibri"/>
          <w:b/>
          <w:bCs/>
          <w:lang w:val="es-ES"/>
        </w:rPr>
        <w:t xml:space="preserve">, </w:t>
      </w:r>
      <w:proofErr w:type="spellStart"/>
      <w:r w:rsidRPr="002C1697">
        <w:rPr>
          <w:rFonts w:eastAsia="Calibri"/>
          <w:b/>
          <w:bCs/>
          <w:lang w:val="es-ES"/>
        </w:rPr>
        <w:t>Else</w:t>
      </w:r>
      <w:proofErr w:type="spellEnd"/>
      <w:r w:rsidRPr="002C1697">
        <w:rPr>
          <w:rFonts w:eastAsia="Calibri"/>
          <w:b/>
          <w:bCs/>
          <w:lang w:val="es-ES"/>
        </w:rPr>
        <w:t xml:space="preserve"> Grete de la Universidad del Ártico </w:t>
      </w:r>
      <w:proofErr w:type="spellStart"/>
      <w:r w:rsidRPr="002C1697">
        <w:rPr>
          <w:rFonts w:eastAsia="Calibri"/>
          <w:b/>
          <w:bCs/>
          <w:lang w:val="es-ES"/>
        </w:rPr>
        <w:t>UiT</w:t>
      </w:r>
      <w:bookmarkEnd w:id="4"/>
      <w:proofErr w:type="spellEnd"/>
    </w:p>
    <w:p w14:paraId="77C54C60" w14:textId="77777777" w:rsidR="006F404E" w:rsidRDefault="006F404E" w:rsidP="00D273B4">
      <w:pPr>
        <w:spacing w:line="360" w:lineRule="auto"/>
        <w:jc w:val="both"/>
        <w:rPr>
          <w:rFonts w:ascii="Arial" w:hAnsi="Arial" w:cs="Arial"/>
          <w:sz w:val="20"/>
          <w:szCs w:val="20"/>
        </w:rPr>
      </w:pPr>
      <w:r>
        <w:rPr>
          <w:rFonts w:ascii="Arial" w:hAnsi="Arial" w:cs="Arial"/>
          <w:sz w:val="20"/>
          <w:szCs w:val="20"/>
        </w:rPr>
        <w:t>U</w:t>
      </w:r>
      <w:r w:rsidR="00237B86" w:rsidRPr="00D273B4">
        <w:rPr>
          <w:rFonts w:ascii="Arial" w:hAnsi="Arial" w:cs="Arial"/>
          <w:sz w:val="20"/>
          <w:szCs w:val="20"/>
        </w:rPr>
        <w:t>nidad académica de nivel instituto, adscrita a la Facultad de Humanidades, Ciencias Sociales y Educación, cuya misión es promover y fortalecer la investigación y la docencia multidisciplinaria sobre el pueblo sámi y otros pueblos indígenas.</w:t>
      </w:r>
    </w:p>
    <w:p w14:paraId="097B0BE8" w14:textId="77777777" w:rsidR="006F404E" w:rsidRDefault="00237B86" w:rsidP="00D273B4">
      <w:pPr>
        <w:spacing w:line="360" w:lineRule="auto"/>
        <w:jc w:val="both"/>
        <w:rPr>
          <w:rFonts w:ascii="Arial" w:hAnsi="Arial" w:cs="Arial"/>
          <w:sz w:val="20"/>
          <w:szCs w:val="20"/>
        </w:rPr>
      </w:pPr>
      <w:r w:rsidRPr="00D273B4">
        <w:rPr>
          <w:rFonts w:ascii="Arial" w:hAnsi="Arial" w:cs="Arial"/>
          <w:sz w:val="20"/>
          <w:szCs w:val="20"/>
        </w:rPr>
        <w:t xml:space="preserve">Entre sus principales funciones se encuentran: </w:t>
      </w:r>
    </w:p>
    <w:p w14:paraId="044E47D8" w14:textId="77777777" w:rsidR="006F404E" w:rsidRDefault="00237B86" w:rsidP="00D273B4">
      <w:pPr>
        <w:spacing w:line="360" w:lineRule="auto"/>
        <w:jc w:val="both"/>
        <w:rPr>
          <w:rFonts w:ascii="Arial" w:hAnsi="Arial" w:cs="Arial"/>
          <w:sz w:val="20"/>
          <w:szCs w:val="20"/>
        </w:rPr>
      </w:pPr>
      <w:r w:rsidRPr="006F404E">
        <w:rPr>
          <w:rFonts w:ascii="Arial" w:hAnsi="Arial" w:cs="Arial"/>
          <w:b/>
          <w:bCs/>
          <w:sz w:val="20"/>
          <w:szCs w:val="20"/>
        </w:rPr>
        <w:t>Investigación y educación multidisciplinari</w:t>
      </w:r>
      <w:r w:rsidR="006F404E" w:rsidRPr="006F404E">
        <w:rPr>
          <w:rFonts w:ascii="Arial" w:hAnsi="Arial" w:cs="Arial"/>
          <w:b/>
          <w:bCs/>
          <w:sz w:val="20"/>
          <w:szCs w:val="20"/>
        </w:rPr>
        <w:t>a,</w:t>
      </w:r>
      <w:r w:rsidR="006F404E">
        <w:rPr>
          <w:rFonts w:ascii="Arial" w:hAnsi="Arial" w:cs="Arial"/>
          <w:sz w:val="20"/>
          <w:szCs w:val="20"/>
        </w:rPr>
        <w:t xml:space="preserve"> el</w:t>
      </w:r>
      <w:r w:rsidRPr="00D273B4">
        <w:rPr>
          <w:rFonts w:ascii="Arial" w:hAnsi="Arial" w:cs="Arial"/>
          <w:sz w:val="20"/>
          <w:szCs w:val="20"/>
        </w:rPr>
        <w:t xml:space="preserve"> SESAM impulsa proyectos en ámbitos como lengua sámi, cultura, historia y derechos indígenas, manteniendo redes de colaboración tanto locales como internacionales. </w:t>
      </w:r>
    </w:p>
    <w:p w14:paraId="4E535478" w14:textId="77777777" w:rsidR="006F404E" w:rsidRDefault="00237B86" w:rsidP="00D273B4">
      <w:pPr>
        <w:spacing w:line="360" w:lineRule="auto"/>
        <w:jc w:val="both"/>
        <w:rPr>
          <w:rFonts w:ascii="Arial" w:hAnsi="Arial" w:cs="Arial"/>
          <w:sz w:val="20"/>
          <w:szCs w:val="20"/>
        </w:rPr>
      </w:pPr>
      <w:r w:rsidRPr="006F404E">
        <w:rPr>
          <w:rFonts w:ascii="Arial" w:hAnsi="Arial" w:cs="Arial"/>
          <w:b/>
          <w:bCs/>
          <w:sz w:val="20"/>
          <w:szCs w:val="20"/>
        </w:rPr>
        <w:t>Difusión y asesoría:</w:t>
      </w:r>
      <w:r w:rsidRPr="00D273B4">
        <w:rPr>
          <w:rFonts w:ascii="Arial" w:hAnsi="Arial" w:cs="Arial"/>
          <w:sz w:val="20"/>
          <w:szCs w:val="20"/>
        </w:rPr>
        <w:t xml:space="preserve"> difunde información sobre estudios étnicos en UiT y asesora a la universidad en cuestiones relacionadas con los pueblos indígenas, fomentando el uso del idioma sámi en todos los niveles de la institución. </w:t>
      </w:r>
    </w:p>
    <w:p w14:paraId="3E622F54" w14:textId="4A26D201" w:rsidR="003B2F1B" w:rsidRPr="00D273B4" w:rsidRDefault="00237B86" w:rsidP="00D273B4">
      <w:pPr>
        <w:spacing w:line="360" w:lineRule="auto"/>
        <w:jc w:val="both"/>
        <w:rPr>
          <w:rFonts w:ascii="Arial" w:hAnsi="Arial" w:cs="Arial"/>
          <w:sz w:val="20"/>
          <w:szCs w:val="20"/>
        </w:rPr>
      </w:pPr>
      <w:r w:rsidRPr="006F404E">
        <w:rPr>
          <w:rFonts w:ascii="Arial" w:hAnsi="Arial" w:cs="Arial"/>
          <w:b/>
          <w:bCs/>
          <w:sz w:val="20"/>
          <w:szCs w:val="20"/>
        </w:rPr>
        <w:lastRenderedPageBreak/>
        <w:t>Colaboración interinstitucional:</w:t>
      </w:r>
      <w:r w:rsidRPr="00D273B4">
        <w:rPr>
          <w:rFonts w:ascii="Arial" w:hAnsi="Arial" w:cs="Arial"/>
          <w:sz w:val="20"/>
          <w:szCs w:val="20"/>
        </w:rPr>
        <w:t xml:space="preserve"> facilita alianzas con organizaciones y centros de estudio de la cultura sámi y otras culturas indígenas, promoviendo intercambios académicos, conferencias y programas conjuntos.Formación de personal: atrae y apoya a estudiantes y académicos interesados en estudios indígenas, contribuyendo al aumento de la presencia de investigadores y docentes especializados en estas temáticas.</w:t>
      </w:r>
    </w:p>
    <w:p w14:paraId="1610EFDC" w14:textId="746B96DF" w:rsidR="00237B86" w:rsidRPr="00D273B4" w:rsidRDefault="00237B86" w:rsidP="00D273B4">
      <w:pPr>
        <w:spacing w:line="360" w:lineRule="auto"/>
        <w:jc w:val="both"/>
        <w:rPr>
          <w:rFonts w:ascii="Arial" w:hAnsi="Arial" w:cs="Arial"/>
          <w:sz w:val="20"/>
          <w:szCs w:val="20"/>
        </w:rPr>
      </w:pPr>
      <w:r w:rsidRPr="00D273B4">
        <w:rPr>
          <w:rFonts w:ascii="Arial" w:hAnsi="Arial" w:cs="Arial"/>
          <w:sz w:val="20"/>
          <w:szCs w:val="20"/>
        </w:rPr>
        <w:t xml:space="preserve">Poseen un </w:t>
      </w:r>
      <w:r w:rsidR="002C7057" w:rsidRPr="00D273B4">
        <w:rPr>
          <w:rFonts w:ascii="Arial" w:hAnsi="Arial" w:cs="Arial"/>
          <w:sz w:val="20"/>
          <w:szCs w:val="20"/>
        </w:rPr>
        <w:t>Máster en Estudios Indígenas (Master of Philosophy in Indigenous Studies) que ofrece UiT The Arctic University of Norway en colaboración con el Centre for Sami Studies es un programa de dos años de duración (120 ECTS) totalmente impartido en inglés en el campus de Tromsø</w:t>
      </w:r>
      <w:r w:rsidR="000508A9" w:rsidRPr="00D273B4">
        <w:rPr>
          <w:rFonts w:ascii="Arial" w:hAnsi="Arial" w:cs="Arial"/>
          <w:sz w:val="20"/>
          <w:szCs w:val="20"/>
        </w:rPr>
        <w:t>.</w:t>
      </w:r>
      <w:r w:rsidR="00624774" w:rsidRPr="00D273B4">
        <w:rPr>
          <w:rFonts w:ascii="Arial" w:hAnsi="Arial" w:cs="Arial"/>
          <w:sz w:val="20"/>
          <w:szCs w:val="20"/>
        </w:rPr>
        <w:t xml:space="preserve"> </w:t>
      </w:r>
    </w:p>
    <w:p w14:paraId="1E87751F" w14:textId="214D718F" w:rsidR="00C1348F" w:rsidRDefault="00C1348F" w:rsidP="00D273B4">
      <w:pPr>
        <w:spacing w:line="360" w:lineRule="auto"/>
        <w:jc w:val="both"/>
        <w:rPr>
          <w:rFonts w:ascii="Arial" w:hAnsi="Arial" w:cs="Arial"/>
          <w:sz w:val="20"/>
          <w:szCs w:val="20"/>
        </w:rPr>
      </w:pPr>
      <w:r w:rsidRPr="00D273B4">
        <w:rPr>
          <w:rFonts w:ascii="Arial" w:hAnsi="Arial" w:cs="Arial"/>
          <w:sz w:val="20"/>
          <w:szCs w:val="20"/>
        </w:rPr>
        <w:t>El programa de Máster en Estudios Indígenas de UiT se articula en torno a diversas áreas formativas que integran la cultura y el idioma sámi de manera holística. A través de asignaturas como “Situación política y rol internacional de los pueblos indígenas”, “Arqueología y patrimonio sámi”, “Historia y evolución social del pueblo sámi”, “Relaciones y estudios indígenas” y “Etnografía aplicada”, los estudiantes adquieren tanto fundamentos teóricos como competencias prácticas para analizar y fortalecer las dinámicas culturales y sociales de las comunidades. Este enfoque multidisciplinario promueve la comprensión de la historia social y cultural, así como el establecimiento de vínculos efectivos con las poblaciones locales, con el fin de impulsar la salud social y el bien común. De este modo, el programa no solo empodera a quienes se identifican con la cultura sámi, sino que también fomenta la integración y el entendimiento mutuo con la sociedad noruega en su conjunto.</w:t>
      </w:r>
    </w:p>
    <w:p w14:paraId="377CDEB9" w14:textId="299CB475" w:rsidR="006F404E" w:rsidRDefault="006F404E" w:rsidP="00D273B4">
      <w:pPr>
        <w:spacing w:line="360" w:lineRule="auto"/>
        <w:jc w:val="both"/>
        <w:rPr>
          <w:rFonts w:ascii="Arial" w:hAnsi="Arial" w:cs="Arial"/>
          <w:sz w:val="20"/>
          <w:szCs w:val="20"/>
        </w:rPr>
      </w:pPr>
      <w:r>
        <w:rPr>
          <w:rFonts w:ascii="Arial" w:hAnsi="Arial" w:cs="Arial"/>
          <w:sz w:val="20"/>
          <w:szCs w:val="20"/>
        </w:rPr>
        <w:t>El principal interés de este Centro de Estudios es encontrar puntos en común con otros pueblos originarios, con el propósito de revitalizar el lenguaje, y mantener las tradiciones y expresiones culturales, fomentando de manera continua la identidad de estas comunidades. Como mecanismo, se favorecen los estudiantes de origen sámi, con criterios especificos y regulados</w:t>
      </w:r>
      <w:r w:rsidR="00850F5F">
        <w:rPr>
          <w:rFonts w:ascii="Arial" w:hAnsi="Arial" w:cs="Arial"/>
          <w:sz w:val="20"/>
          <w:szCs w:val="20"/>
        </w:rPr>
        <w:t>, para el ingreso a la universidad</w:t>
      </w:r>
      <w:r>
        <w:rPr>
          <w:rFonts w:ascii="Arial" w:hAnsi="Arial" w:cs="Arial"/>
          <w:sz w:val="20"/>
          <w:szCs w:val="20"/>
        </w:rPr>
        <w:t>.</w:t>
      </w:r>
    </w:p>
    <w:p w14:paraId="660EBC46" w14:textId="650CF58B" w:rsidR="006F404E" w:rsidRDefault="006F404E" w:rsidP="00D273B4">
      <w:pPr>
        <w:spacing w:line="360" w:lineRule="auto"/>
        <w:jc w:val="both"/>
        <w:rPr>
          <w:rFonts w:ascii="Arial" w:hAnsi="Arial" w:cs="Arial"/>
          <w:sz w:val="20"/>
          <w:szCs w:val="20"/>
        </w:rPr>
      </w:pPr>
      <w:r>
        <w:rPr>
          <w:rFonts w:ascii="Arial" w:hAnsi="Arial" w:cs="Arial"/>
          <w:sz w:val="20"/>
          <w:szCs w:val="20"/>
        </w:rPr>
        <w:t>Otra de las prioridades es la internacionalización de los pueblos originarios</w:t>
      </w:r>
      <w:r w:rsidR="00850F5F">
        <w:rPr>
          <w:rFonts w:ascii="Arial" w:hAnsi="Arial" w:cs="Arial"/>
          <w:sz w:val="20"/>
          <w:szCs w:val="20"/>
        </w:rPr>
        <w:t>, respetando los convenios vigentes, por lo cuál se cuenta con un parlamento que impulsa esta visión, el cuál es financiado por el Estado Noruego.</w:t>
      </w:r>
    </w:p>
    <w:p w14:paraId="6E05CB8D" w14:textId="52EC01F3" w:rsidR="00032A8F" w:rsidRDefault="00C27766" w:rsidP="00D273B4">
      <w:pPr>
        <w:spacing w:line="360" w:lineRule="auto"/>
        <w:jc w:val="both"/>
        <w:rPr>
          <w:rFonts w:ascii="Arial" w:hAnsi="Arial" w:cs="Arial"/>
          <w:sz w:val="20"/>
          <w:szCs w:val="20"/>
        </w:rPr>
      </w:pPr>
      <w:r w:rsidRPr="00D273B4">
        <w:rPr>
          <w:rFonts w:ascii="Arial" w:hAnsi="Arial" w:cs="Arial"/>
          <w:sz w:val="20"/>
          <w:szCs w:val="20"/>
        </w:rPr>
        <w:t>En este sentido, las líneas formativas del Máster en Estudios Indígenas de UiT son muy afines a nuestro Magíster en Patrimonio. Con ajustes puntuales —por ejemplo, incorporando módulos específicos sobre cultura, lengua y cosmovisión de los pueblos indígenas locales, así como estudios comparativos de comunidades de altas latitudes— podríamos renombrar el programa para reflejar claramente su enfoque en poblaciones originarias. De este modo, no solo alinearíamos el currículo con las mejores prácticas internacionales, sino que también daríamos cumplimiento a nuestro mandato legal e institucional de generar conocimiento y promover investigaciones sobre los pueblos indígenas de nuestra región.</w:t>
      </w:r>
    </w:p>
    <w:p w14:paraId="4313AF6E" w14:textId="77777777" w:rsidR="00032A8F" w:rsidRDefault="00032A8F">
      <w:pPr>
        <w:rPr>
          <w:rFonts w:ascii="Arial" w:hAnsi="Arial" w:cs="Arial"/>
          <w:sz w:val="20"/>
          <w:szCs w:val="20"/>
        </w:rPr>
      </w:pPr>
      <w:r>
        <w:rPr>
          <w:rFonts w:ascii="Arial" w:hAnsi="Arial" w:cs="Arial"/>
          <w:sz w:val="20"/>
          <w:szCs w:val="20"/>
        </w:rPr>
        <w:br w:type="page"/>
      </w:r>
    </w:p>
    <w:p w14:paraId="64553528" w14:textId="4DC42C26" w:rsidR="002C1697" w:rsidRDefault="002C1697" w:rsidP="002C1697">
      <w:pPr>
        <w:pStyle w:val="Ttulo1"/>
        <w:spacing w:line="360" w:lineRule="auto"/>
        <w:jc w:val="both"/>
        <w:rPr>
          <w:rFonts w:eastAsia="Calibri"/>
          <w:b/>
          <w:bCs/>
          <w:lang w:val="es-ES"/>
        </w:rPr>
      </w:pPr>
      <w:bookmarkStart w:id="5" w:name="_Toc202867718"/>
      <w:r w:rsidRPr="002C1697">
        <w:rPr>
          <w:rFonts w:eastAsia="Calibri"/>
          <w:b/>
          <w:bCs/>
          <w:lang w:val="es-ES"/>
        </w:rPr>
        <w:lastRenderedPageBreak/>
        <w:t xml:space="preserve">Reunión con el </w:t>
      </w:r>
      <w:proofErr w:type="spellStart"/>
      <w:r w:rsidR="00850F5F">
        <w:rPr>
          <w:rFonts w:eastAsia="Calibri"/>
          <w:b/>
          <w:bCs/>
          <w:lang w:val="es-ES"/>
        </w:rPr>
        <w:t>Pror</w:t>
      </w:r>
      <w:r w:rsidR="00850F5F" w:rsidRPr="002C1697">
        <w:rPr>
          <w:rFonts w:eastAsia="Calibri"/>
          <w:b/>
          <w:bCs/>
          <w:lang w:val="es-ES"/>
        </w:rPr>
        <w:t>rector</w:t>
      </w:r>
      <w:proofErr w:type="spellEnd"/>
      <w:r w:rsidRPr="002C1697">
        <w:rPr>
          <w:rFonts w:eastAsia="Calibri"/>
          <w:b/>
          <w:bCs/>
          <w:lang w:val="es-ES"/>
        </w:rPr>
        <w:t xml:space="preserve"> de Investigación y Desarrollo: Jan-Gunnar </w:t>
      </w:r>
      <w:proofErr w:type="spellStart"/>
      <w:r w:rsidRPr="002C1697">
        <w:rPr>
          <w:rFonts w:eastAsia="Calibri"/>
          <w:b/>
          <w:bCs/>
          <w:lang w:val="es-ES"/>
        </w:rPr>
        <w:t>Winther</w:t>
      </w:r>
      <w:proofErr w:type="spellEnd"/>
      <w:r w:rsidRPr="002C1697">
        <w:rPr>
          <w:rFonts w:eastAsia="Calibri"/>
          <w:b/>
          <w:bCs/>
          <w:lang w:val="es-ES"/>
        </w:rPr>
        <w:t xml:space="preserve"> de la Universidad del Ártico </w:t>
      </w:r>
      <w:proofErr w:type="spellStart"/>
      <w:r w:rsidRPr="002C1697">
        <w:rPr>
          <w:rFonts w:eastAsia="Calibri"/>
          <w:b/>
          <w:bCs/>
          <w:lang w:val="es-ES"/>
        </w:rPr>
        <w:t>UiT</w:t>
      </w:r>
      <w:proofErr w:type="spellEnd"/>
      <w:r w:rsidRPr="002C1697">
        <w:rPr>
          <w:rFonts w:eastAsia="Calibri"/>
          <w:b/>
          <w:bCs/>
          <w:lang w:val="es-ES"/>
        </w:rPr>
        <w:t xml:space="preserve">, Campus </w:t>
      </w:r>
      <w:proofErr w:type="spellStart"/>
      <w:r w:rsidRPr="002C1697">
        <w:rPr>
          <w:rFonts w:eastAsia="Calibri"/>
          <w:b/>
          <w:bCs/>
          <w:lang w:val="es-ES"/>
        </w:rPr>
        <w:t>Breivika</w:t>
      </w:r>
      <w:bookmarkEnd w:id="5"/>
      <w:proofErr w:type="spellEnd"/>
    </w:p>
    <w:p w14:paraId="2672FCBA" w14:textId="11C876CE" w:rsidR="003A6B22" w:rsidRDefault="003A6B22" w:rsidP="001234F2">
      <w:pPr>
        <w:spacing w:line="360" w:lineRule="auto"/>
        <w:jc w:val="both"/>
        <w:rPr>
          <w:rFonts w:ascii="Arial" w:hAnsi="Arial" w:cs="Arial"/>
          <w:sz w:val="20"/>
          <w:szCs w:val="20"/>
        </w:rPr>
      </w:pPr>
      <w:r w:rsidRPr="003A6B22">
        <w:rPr>
          <w:rFonts w:ascii="Arial" w:hAnsi="Arial" w:cs="Arial"/>
          <w:sz w:val="20"/>
          <w:szCs w:val="20"/>
        </w:rPr>
        <w:t xml:space="preserve">La reunión da inicio con </w:t>
      </w:r>
      <w:r>
        <w:rPr>
          <w:rFonts w:ascii="Arial" w:hAnsi="Arial" w:cs="Arial"/>
          <w:sz w:val="20"/>
          <w:szCs w:val="20"/>
        </w:rPr>
        <w:t xml:space="preserve">la presentación del programa </w:t>
      </w:r>
      <w:r w:rsidRPr="001234F2">
        <w:rPr>
          <w:rFonts w:ascii="Arial" w:hAnsi="Arial" w:cs="Arial"/>
          <w:b/>
          <w:bCs/>
          <w:sz w:val="20"/>
          <w:szCs w:val="20"/>
        </w:rPr>
        <w:t xml:space="preserve">UiT Talent </w:t>
      </w:r>
      <w:r w:rsidRPr="003A6B22">
        <w:rPr>
          <w:rFonts w:ascii="Arial" w:hAnsi="Arial" w:cs="Arial"/>
          <w:sz w:val="20"/>
          <w:szCs w:val="20"/>
        </w:rPr>
        <w:t>es un programa de apoyo integral que incluye herramientas que tienen como objetivo inspirar y apoyar un mayor número de nuevas propuestas de proyectos para financiación externa, tanto a nivel nacional como internacional</w:t>
      </w:r>
      <w:r w:rsidR="001234F2">
        <w:rPr>
          <w:rFonts w:ascii="Arial" w:hAnsi="Arial" w:cs="Arial"/>
          <w:sz w:val="20"/>
          <w:szCs w:val="20"/>
        </w:rPr>
        <w:t>,</w:t>
      </w:r>
      <w:r>
        <w:rPr>
          <w:rFonts w:ascii="Arial" w:hAnsi="Arial" w:cs="Arial"/>
          <w:sz w:val="20"/>
          <w:szCs w:val="20"/>
        </w:rPr>
        <w:t xml:space="preserve"> </w:t>
      </w:r>
      <w:r w:rsidR="001234F2">
        <w:rPr>
          <w:rFonts w:ascii="Arial" w:hAnsi="Arial" w:cs="Arial"/>
          <w:sz w:val="20"/>
          <w:szCs w:val="20"/>
        </w:rPr>
        <w:t>t</w:t>
      </w:r>
      <w:r w:rsidR="001234F2" w:rsidRPr="001234F2">
        <w:rPr>
          <w:rFonts w:ascii="Arial" w:hAnsi="Arial" w:cs="Arial"/>
          <w:sz w:val="20"/>
          <w:szCs w:val="20"/>
        </w:rPr>
        <w:t>iene como objetivo fortalecer proactivamente el potencial competitivo de los entornos de investigación en UiT que aún no tienen experiencia en la adquisición de financiación de investigación externa. Las herramientas transversales de UiT Talent complementan las herramientas de las facultades para fortalecer la calidad y el alcance académico para que la institución pueda alcanzar sus objetivos de investigación.</w:t>
      </w:r>
    </w:p>
    <w:p w14:paraId="7399A205" w14:textId="0331C31D" w:rsidR="001234F2" w:rsidRDefault="001234F2" w:rsidP="001234F2">
      <w:pPr>
        <w:spacing w:line="360" w:lineRule="auto"/>
        <w:jc w:val="both"/>
        <w:rPr>
          <w:rFonts w:ascii="Arial" w:hAnsi="Arial" w:cs="Arial"/>
          <w:sz w:val="20"/>
          <w:szCs w:val="20"/>
        </w:rPr>
      </w:pPr>
      <w:r>
        <w:rPr>
          <w:rFonts w:ascii="Arial" w:hAnsi="Arial" w:cs="Arial"/>
          <w:sz w:val="20"/>
          <w:szCs w:val="20"/>
        </w:rPr>
        <w:t>En términos generales, los académicos ejercen las dos funciones: docencia e investigación, el modelo de gestión promueve el balance entre ambas. En el ámbito de la investigación, se garantiza</w:t>
      </w:r>
      <w:r w:rsidR="00214BAE">
        <w:rPr>
          <w:rFonts w:ascii="Arial" w:hAnsi="Arial" w:cs="Arial"/>
          <w:sz w:val="20"/>
          <w:szCs w:val="20"/>
        </w:rPr>
        <w:t>: infraestructura, insumos de laboratorio, personal con competencias en laboratorio o afines.</w:t>
      </w:r>
    </w:p>
    <w:p w14:paraId="1CC5BDEA" w14:textId="5B0CE4B3" w:rsidR="003A6B22" w:rsidRPr="00DD4B97" w:rsidRDefault="00214BAE" w:rsidP="00DD4B97">
      <w:pPr>
        <w:spacing w:line="360" w:lineRule="auto"/>
        <w:jc w:val="both"/>
        <w:rPr>
          <w:rFonts w:ascii="Arial" w:hAnsi="Arial" w:cs="Arial"/>
          <w:sz w:val="20"/>
          <w:szCs w:val="20"/>
        </w:rPr>
      </w:pPr>
      <w:r>
        <w:rPr>
          <w:rFonts w:ascii="Arial" w:hAnsi="Arial" w:cs="Arial"/>
          <w:sz w:val="20"/>
          <w:szCs w:val="20"/>
        </w:rPr>
        <w:t xml:space="preserve">Como principal desafío se detecta las complicaciones de la vinculación con el sector productivo, en su mayoría, se encuentran en el sur de Noruega, la estrategia es buscar fondos en temas muy concretos, como ejemplo de vinculación efectiva, se cita el intercambio y transferencia de conocimiento con las fuerzas militares, </w:t>
      </w:r>
      <w:r w:rsidR="00176D9D">
        <w:rPr>
          <w:rFonts w:ascii="Arial" w:hAnsi="Arial" w:cs="Arial"/>
          <w:sz w:val="20"/>
          <w:szCs w:val="20"/>
        </w:rPr>
        <w:t>con foco en seguridad alimentaria.</w:t>
      </w:r>
    </w:p>
    <w:p w14:paraId="3CC4A873" w14:textId="77777777" w:rsidR="00032A8F" w:rsidRDefault="002C1697" w:rsidP="00D273B4">
      <w:pPr>
        <w:spacing w:line="360" w:lineRule="auto"/>
        <w:jc w:val="both"/>
        <w:rPr>
          <w:rFonts w:ascii="Arial" w:hAnsi="Arial" w:cs="Arial"/>
          <w:sz w:val="20"/>
          <w:szCs w:val="20"/>
        </w:rPr>
      </w:pPr>
      <w:r w:rsidRPr="00D273B4">
        <w:rPr>
          <w:rFonts w:ascii="Arial" w:hAnsi="Arial" w:cs="Arial"/>
          <w:sz w:val="20"/>
          <w:szCs w:val="20"/>
        </w:rPr>
        <w:t xml:space="preserve">Bajo la Rectoría, la Prorrectoría de Investigación y Desarrollo tiene a su cargo: </w:t>
      </w:r>
    </w:p>
    <w:p w14:paraId="101C348C" w14:textId="77777777" w:rsidR="00032A8F" w:rsidRDefault="002C1697" w:rsidP="00D273B4">
      <w:pPr>
        <w:spacing w:line="360" w:lineRule="auto"/>
        <w:jc w:val="both"/>
        <w:rPr>
          <w:rFonts w:ascii="Arial" w:hAnsi="Arial" w:cs="Arial"/>
          <w:sz w:val="20"/>
          <w:szCs w:val="20"/>
        </w:rPr>
      </w:pPr>
      <w:r w:rsidRPr="00D273B4">
        <w:rPr>
          <w:rFonts w:ascii="Arial" w:hAnsi="Arial" w:cs="Arial"/>
          <w:b/>
          <w:bCs/>
          <w:sz w:val="20"/>
          <w:szCs w:val="20"/>
        </w:rPr>
        <w:t>Estrategia y política de investigación</w:t>
      </w:r>
      <w:r w:rsidRPr="00D273B4">
        <w:rPr>
          <w:rFonts w:ascii="Arial" w:hAnsi="Arial" w:cs="Arial"/>
          <w:sz w:val="20"/>
          <w:szCs w:val="20"/>
        </w:rPr>
        <w:t xml:space="preserve">: Diseña y actualiza la estrategia institucional de I + D, definiendo áreas prioritarias y objetivos de investigación a corto y largo plazo. </w:t>
      </w:r>
    </w:p>
    <w:p w14:paraId="3DEE99AB" w14:textId="77777777" w:rsidR="00032A8F" w:rsidRDefault="002C1697" w:rsidP="00D273B4">
      <w:pPr>
        <w:spacing w:line="360" w:lineRule="auto"/>
        <w:jc w:val="both"/>
        <w:rPr>
          <w:rFonts w:ascii="Arial" w:hAnsi="Arial" w:cs="Arial"/>
          <w:sz w:val="20"/>
          <w:szCs w:val="20"/>
        </w:rPr>
      </w:pPr>
      <w:r w:rsidRPr="00D273B4">
        <w:rPr>
          <w:rFonts w:ascii="Arial" w:hAnsi="Arial" w:cs="Arial"/>
          <w:b/>
          <w:bCs/>
          <w:sz w:val="20"/>
          <w:szCs w:val="20"/>
        </w:rPr>
        <w:t>Coordinación interfacultades</w:t>
      </w:r>
      <w:r w:rsidRPr="00D273B4">
        <w:rPr>
          <w:rFonts w:ascii="Arial" w:hAnsi="Arial" w:cs="Arial"/>
          <w:sz w:val="20"/>
          <w:szCs w:val="20"/>
        </w:rPr>
        <w:t xml:space="preserve">: Supervisa y articula las actividades de investigación en las distintas facultades y centros de estudio, asegurando sinergias y evitando duplicidades. </w:t>
      </w:r>
    </w:p>
    <w:p w14:paraId="1CB781AE" w14:textId="77777777" w:rsidR="00032A8F" w:rsidRDefault="002C1697" w:rsidP="00D273B4">
      <w:pPr>
        <w:spacing w:line="360" w:lineRule="auto"/>
        <w:jc w:val="both"/>
        <w:rPr>
          <w:rFonts w:ascii="Arial" w:hAnsi="Arial" w:cs="Arial"/>
          <w:sz w:val="20"/>
          <w:szCs w:val="20"/>
        </w:rPr>
      </w:pPr>
      <w:r w:rsidRPr="00D273B4">
        <w:rPr>
          <w:rFonts w:ascii="Arial" w:hAnsi="Arial" w:cs="Arial"/>
          <w:b/>
          <w:bCs/>
          <w:sz w:val="20"/>
          <w:szCs w:val="20"/>
        </w:rPr>
        <w:t>Gestión de financiamiento</w:t>
      </w:r>
      <w:r w:rsidRPr="00D273B4">
        <w:rPr>
          <w:rFonts w:ascii="Arial" w:hAnsi="Arial" w:cs="Arial"/>
          <w:sz w:val="20"/>
          <w:szCs w:val="20"/>
        </w:rPr>
        <w:t xml:space="preserve">: Facilita la captación de fondos internos y externos (nacionales e internacionales), gestiona convocatorias competitivas y ofrece apoyo a los investigadores en la preparación de propuestas. </w:t>
      </w:r>
    </w:p>
    <w:p w14:paraId="0011DBAE" w14:textId="77777777" w:rsidR="00032A8F" w:rsidRDefault="002C1697" w:rsidP="00D273B4">
      <w:pPr>
        <w:spacing w:line="360" w:lineRule="auto"/>
        <w:jc w:val="both"/>
        <w:rPr>
          <w:rFonts w:ascii="Arial" w:hAnsi="Arial" w:cs="Arial"/>
          <w:sz w:val="20"/>
          <w:szCs w:val="20"/>
        </w:rPr>
      </w:pPr>
      <w:r w:rsidRPr="00D273B4">
        <w:rPr>
          <w:rFonts w:ascii="Arial" w:hAnsi="Arial" w:cs="Arial"/>
          <w:b/>
          <w:bCs/>
          <w:sz w:val="20"/>
          <w:szCs w:val="20"/>
        </w:rPr>
        <w:t>Calidad y ética</w:t>
      </w:r>
      <w:r w:rsidRPr="00D273B4">
        <w:rPr>
          <w:rFonts w:ascii="Arial" w:hAnsi="Arial" w:cs="Arial"/>
          <w:sz w:val="20"/>
          <w:szCs w:val="20"/>
        </w:rPr>
        <w:t xml:space="preserve">: Promueve buenas prácticas en investigación, supervisa comités de ética y garantiza el cumplimiento de normativas nacionales e internacionales (p. ej., en manejo de datos y experimentación). </w:t>
      </w:r>
    </w:p>
    <w:p w14:paraId="2B229C05" w14:textId="77777777" w:rsidR="00032A8F" w:rsidRDefault="002C1697" w:rsidP="00D273B4">
      <w:pPr>
        <w:spacing w:line="360" w:lineRule="auto"/>
        <w:jc w:val="both"/>
        <w:rPr>
          <w:rFonts w:ascii="Arial" w:hAnsi="Arial" w:cs="Arial"/>
          <w:sz w:val="20"/>
          <w:szCs w:val="20"/>
        </w:rPr>
      </w:pPr>
      <w:r w:rsidRPr="00D273B4">
        <w:rPr>
          <w:rFonts w:ascii="Arial" w:hAnsi="Arial" w:cs="Arial"/>
          <w:b/>
          <w:bCs/>
          <w:sz w:val="20"/>
          <w:szCs w:val="20"/>
        </w:rPr>
        <w:t>Formación doctoral</w:t>
      </w:r>
      <w:r w:rsidRPr="00D273B4">
        <w:rPr>
          <w:rFonts w:ascii="Arial" w:hAnsi="Arial" w:cs="Arial"/>
          <w:sz w:val="20"/>
          <w:szCs w:val="20"/>
        </w:rPr>
        <w:t xml:space="preserve">: Coordina los programas de doctorado, estableciendo estándares de supervisión, evaluación y progresión académica de los candidatos. </w:t>
      </w:r>
    </w:p>
    <w:p w14:paraId="3FBE16E4" w14:textId="77777777" w:rsidR="00032A8F" w:rsidRDefault="002C1697" w:rsidP="00D273B4">
      <w:pPr>
        <w:spacing w:line="360" w:lineRule="auto"/>
        <w:jc w:val="both"/>
        <w:rPr>
          <w:rFonts w:ascii="Arial" w:hAnsi="Arial" w:cs="Arial"/>
          <w:sz w:val="20"/>
          <w:szCs w:val="20"/>
        </w:rPr>
      </w:pPr>
      <w:r w:rsidRPr="00D273B4">
        <w:rPr>
          <w:rFonts w:ascii="Arial" w:hAnsi="Arial" w:cs="Arial"/>
          <w:b/>
          <w:bCs/>
          <w:sz w:val="20"/>
          <w:szCs w:val="20"/>
        </w:rPr>
        <w:t>Innovación y transferencia</w:t>
      </w:r>
      <w:r w:rsidRPr="00D273B4">
        <w:rPr>
          <w:rFonts w:ascii="Arial" w:hAnsi="Arial" w:cs="Arial"/>
          <w:sz w:val="20"/>
          <w:szCs w:val="20"/>
        </w:rPr>
        <w:t xml:space="preserve">: Impulsa la valorización del conocimiento generado, fomenta la colaboración con la industria y gestiona oficinas de transferencia tecnológica y propiedad intelectual. </w:t>
      </w:r>
    </w:p>
    <w:p w14:paraId="58F3D4D1" w14:textId="77777777" w:rsidR="00032A8F" w:rsidRDefault="002C1697" w:rsidP="00D273B4">
      <w:pPr>
        <w:spacing w:line="360" w:lineRule="auto"/>
        <w:jc w:val="both"/>
        <w:rPr>
          <w:rFonts w:ascii="Arial" w:hAnsi="Arial" w:cs="Arial"/>
          <w:sz w:val="20"/>
          <w:szCs w:val="20"/>
        </w:rPr>
      </w:pPr>
      <w:r w:rsidRPr="00D273B4">
        <w:rPr>
          <w:rFonts w:ascii="Arial" w:hAnsi="Arial" w:cs="Arial"/>
          <w:b/>
          <w:bCs/>
          <w:sz w:val="20"/>
          <w:szCs w:val="20"/>
        </w:rPr>
        <w:t>Colaboración internacional</w:t>
      </w:r>
      <w:r w:rsidRPr="00D273B4">
        <w:rPr>
          <w:rFonts w:ascii="Arial" w:hAnsi="Arial" w:cs="Arial"/>
          <w:sz w:val="20"/>
          <w:szCs w:val="20"/>
        </w:rPr>
        <w:t xml:space="preserve">: Desarrolla alianzas estratégicas con instituciones globales, programas de investigación conjunta y redes científicas, reforzando el posicionamiento de UiT en el Ártico y más allá. Me llamó la atención que en UiT todos los investigadores están integrados en sus respectivas unidades académicas, donde </w:t>
      </w:r>
      <w:r w:rsidRPr="00D273B4">
        <w:rPr>
          <w:rFonts w:ascii="Arial" w:hAnsi="Arial" w:cs="Arial"/>
          <w:sz w:val="20"/>
          <w:szCs w:val="20"/>
        </w:rPr>
        <w:lastRenderedPageBreak/>
        <w:t xml:space="preserve">combinan docencia e investigación en función de su productividad individual: unos dedican más tiempo a enseñar, otros a indagar, pero todos contribuyen al quehacer de la institución. </w:t>
      </w:r>
    </w:p>
    <w:p w14:paraId="7E25BD6E" w14:textId="319269DB" w:rsidR="002C1697" w:rsidRPr="00D273B4" w:rsidRDefault="002C1697" w:rsidP="00D273B4">
      <w:pPr>
        <w:spacing w:line="360" w:lineRule="auto"/>
        <w:jc w:val="both"/>
        <w:rPr>
          <w:rFonts w:ascii="Arial" w:hAnsi="Arial" w:cs="Arial"/>
          <w:sz w:val="20"/>
          <w:szCs w:val="20"/>
        </w:rPr>
      </w:pPr>
      <w:r w:rsidRPr="00D273B4">
        <w:rPr>
          <w:rFonts w:ascii="Arial" w:hAnsi="Arial" w:cs="Arial"/>
          <w:sz w:val="20"/>
          <w:szCs w:val="20"/>
        </w:rPr>
        <w:t>Además, tienen una política firme de acceso abierto financiada íntegramente por el gobierno noruego, lo que garantiza que sus publicaciones sean libres y, por ende, más visibles y citadas. Aunque no cuentan con una oficina exclusiva de vinculación con el medio, la Pro-rectoría articula tres ejes transversales: primero, la conexión de la investigación con el desarrollo local a través de las municipalidades; segundo, la colaboración con la industria—especialmente turismo, agricultura y la emergente industria del hidrógeno verde—; y tercero, el apoyo logístico y científico a las Fuerzas Armadas en la protección fronteriza con Rusia.</w:t>
      </w:r>
    </w:p>
    <w:p w14:paraId="13F34FF1" w14:textId="5D0870E2" w:rsidR="002C1697" w:rsidRPr="002C1697" w:rsidRDefault="002C1697" w:rsidP="002C1697">
      <w:pPr>
        <w:pStyle w:val="Ttulo1"/>
        <w:spacing w:line="360" w:lineRule="auto"/>
        <w:jc w:val="both"/>
        <w:rPr>
          <w:rFonts w:eastAsia="Calibri"/>
          <w:b/>
          <w:bCs/>
          <w:lang w:val="es-ES"/>
        </w:rPr>
      </w:pPr>
      <w:bookmarkStart w:id="6" w:name="_Toc202867719"/>
      <w:r w:rsidRPr="002C1697">
        <w:rPr>
          <w:rFonts w:eastAsia="Calibri"/>
          <w:b/>
          <w:bCs/>
          <w:lang w:val="es-ES"/>
        </w:rPr>
        <w:t>Reunión con el presidente de la Universidad del Ártico (</w:t>
      </w:r>
      <w:proofErr w:type="spellStart"/>
      <w:r w:rsidRPr="002C1697">
        <w:rPr>
          <w:rFonts w:eastAsia="Calibri"/>
          <w:b/>
          <w:bCs/>
          <w:lang w:val="es-ES"/>
        </w:rPr>
        <w:t>UArctic</w:t>
      </w:r>
      <w:proofErr w:type="spellEnd"/>
      <w:r w:rsidRPr="002C1697">
        <w:rPr>
          <w:rFonts w:eastAsia="Calibri"/>
          <w:b/>
          <w:bCs/>
          <w:lang w:val="es-ES"/>
        </w:rPr>
        <w:t xml:space="preserve">), Lars </w:t>
      </w:r>
      <w:proofErr w:type="spellStart"/>
      <w:r w:rsidRPr="002C1697">
        <w:rPr>
          <w:rFonts w:eastAsia="Calibri"/>
          <w:b/>
          <w:bCs/>
          <w:lang w:val="es-ES"/>
        </w:rPr>
        <w:t>Kullerud</w:t>
      </w:r>
      <w:bookmarkEnd w:id="6"/>
      <w:proofErr w:type="spellEnd"/>
    </w:p>
    <w:p w14:paraId="79283B1A" w14:textId="77777777" w:rsidR="00DD4B97" w:rsidRDefault="00FB3C42" w:rsidP="00D273B4">
      <w:pPr>
        <w:spacing w:line="360" w:lineRule="auto"/>
        <w:jc w:val="both"/>
        <w:rPr>
          <w:rFonts w:ascii="Arial" w:hAnsi="Arial" w:cs="Arial"/>
          <w:sz w:val="20"/>
          <w:szCs w:val="20"/>
        </w:rPr>
      </w:pPr>
      <w:r w:rsidRPr="00D273B4">
        <w:rPr>
          <w:rFonts w:ascii="Arial" w:hAnsi="Arial" w:cs="Arial"/>
          <w:sz w:val="20"/>
          <w:szCs w:val="20"/>
        </w:rPr>
        <w:t xml:space="preserve">La University of the Arctic (UArctic) es una red cooperativa internacional de más de 190 instituciones (universidades, centros de investigación y organizaciones indígenas) creada en 2001 bajo el respaldo del Consejo Ártico para fomentar la educación, la investigación y la colaboración circumpolar. </w:t>
      </w:r>
    </w:p>
    <w:p w14:paraId="4B35986F" w14:textId="77777777" w:rsidR="00DD4B97" w:rsidRDefault="00FB3C42" w:rsidP="00D273B4">
      <w:pPr>
        <w:spacing w:line="360" w:lineRule="auto"/>
        <w:jc w:val="both"/>
        <w:rPr>
          <w:rFonts w:ascii="Arial" w:hAnsi="Arial" w:cs="Arial"/>
          <w:sz w:val="20"/>
          <w:szCs w:val="20"/>
        </w:rPr>
      </w:pPr>
      <w:r w:rsidRPr="00D273B4">
        <w:rPr>
          <w:rFonts w:ascii="Arial" w:hAnsi="Arial" w:cs="Arial"/>
          <w:b/>
          <w:bCs/>
          <w:sz w:val="20"/>
          <w:szCs w:val="20"/>
        </w:rPr>
        <w:t>Principales funciones y programas de UArctic: north2north</w:t>
      </w:r>
      <w:r w:rsidRPr="00D273B4">
        <w:rPr>
          <w:rFonts w:ascii="Arial" w:hAnsi="Arial" w:cs="Arial"/>
          <w:sz w:val="20"/>
          <w:szCs w:val="20"/>
        </w:rPr>
        <w:t>: programa de movilidad que permite a estudiantes, personal y académicos de las instituciones miembros realizar intercambios de entre una semana y un año, fortaleciendo vínculos entre el Ártico y socios globales</w:t>
      </w:r>
      <w:r w:rsidR="00DC220A" w:rsidRPr="00D273B4">
        <w:rPr>
          <w:rFonts w:ascii="Arial" w:hAnsi="Arial" w:cs="Arial"/>
          <w:sz w:val="20"/>
          <w:szCs w:val="20"/>
        </w:rPr>
        <w:t xml:space="preserve">. </w:t>
      </w:r>
    </w:p>
    <w:p w14:paraId="5BA89EFD" w14:textId="77777777" w:rsidR="00DD4B97" w:rsidRDefault="00FB3C42" w:rsidP="00D273B4">
      <w:pPr>
        <w:spacing w:line="360" w:lineRule="auto"/>
        <w:jc w:val="both"/>
        <w:rPr>
          <w:rFonts w:ascii="Arial" w:hAnsi="Arial" w:cs="Arial"/>
          <w:sz w:val="20"/>
          <w:szCs w:val="20"/>
        </w:rPr>
      </w:pPr>
      <w:r w:rsidRPr="00D273B4">
        <w:rPr>
          <w:rFonts w:ascii="Arial" w:hAnsi="Arial" w:cs="Arial"/>
          <w:b/>
          <w:bCs/>
          <w:sz w:val="20"/>
          <w:szCs w:val="20"/>
        </w:rPr>
        <w:t>Circumpolar Studies Consortium</w:t>
      </w:r>
      <w:r w:rsidRPr="00D273B4">
        <w:rPr>
          <w:rFonts w:ascii="Arial" w:hAnsi="Arial" w:cs="Arial"/>
          <w:sz w:val="20"/>
          <w:szCs w:val="20"/>
        </w:rPr>
        <w:t>: ofrece un certificado en Estudios Circumpolares mediante un conjunto de cursos en línea que abordan temas ambientales, sociales y culturales del Norte.</w:t>
      </w:r>
      <w:r w:rsidR="00DC220A" w:rsidRPr="00D273B4">
        <w:rPr>
          <w:rFonts w:ascii="Arial" w:hAnsi="Arial" w:cs="Arial"/>
          <w:sz w:val="20"/>
          <w:szCs w:val="20"/>
        </w:rPr>
        <w:t xml:space="preserve"> </w:t>
      </w:r>
    </w:p>
    <w:p w14:paraId="5DC14376" w14:textId="77777777" w:rsidR="00DD4B97" w:rsidRDefault="00FB3C42" w:rsidP="00D273B4">
      <w:pPr>
        <w:spacing w:line="360" w:lineRule="auto"/>
        <w:jc w:val="both"/>
        <w:rPr>
          <w:rFonts w:ascii="Arial" w:hAnsi="Arial" w:cs="Arial"/>
          <w:sz w:val="20"/>
          <w:szCs w:val="20"/>
        </w:rPr>
      </w:pPr>
      <w:r w:rsidRPr="00D273B4">
        <w:rPr>
          <w:rFonts w:ascii="Arial" w:hAnsi="Arial" w:cs="Arial"/>
          <w:b/>
          <w:bCs/>
          <w:sz w:val="20"/>
          <w:szCs w:val="20"/>
        </w:rPr>
        <w:t>Field School</w:t>
      </w:r>
      <w:r w:rsidRPr="00D273B4">
        <w:rPr>
          <w:rFonts w:ascii="Arial" w:hAnsi="Arial" w:cs="Arial"/>
          <w:sz w:val="20"/>
          <w:szCs w:val="20"/>
        </w:rPr>
        <w:t>: organiza cursos de corta duración in situ en regiones árticas, proporcionando formación práctica en investigación de campo.</w:t>
      </w:r>
      <w:r w:rsidR="00DC220A" w:rsidRPr="00D273B4">
        <w:rPr>
          <w:rFonts w:ascii="Arial" w:hAnsi="Arial" w:cs="Arial"/>
          <w:sz w:val="20"/>
          <w:szCs w:val="20"/>
        </w:rPr>
        <w:t xml:space="preserve"> </w:t>
      </w:r>
    </w:p>
    <w:p w14:paraId="471F635B" w14:textId="77777777" w:rsidR="00DD4B97" w:rsidRDefault="00FB3C42" w:rsidP="00D273B4">
      <w:pPr>
        <w:spacing w:line="360" w:lineRule="auto"/>
        <w:jc w:val="both"/>
        <w:rPr>
          <w:rFonts w:ascii="Arial" w:hAnsi="Arial" w:cs="Arial"/>
          <w:sz w:val="20"/>
          <w:szCs w:val="20"/>
        </w:rPr>
      </w:pPr>
      <w:r w:rsidRPr="00D273B4">
        <w:rPr>
          <w:rFonts w:ascii="Arial" w:hAnsi="Arial" w:cs="Arial"/>
          <w:b/>
          <w:bCs/>
          <w:sz w:val="20"/>
          <w:szCs w:val="20"/>
        </w:rPr>
        <w:t>Thematic Networks</w:t>
      </w:r>
      <w:r w:rsidRPr="00D273B4">
        <w:rPr>
          <w:rFonts w:ascii="Arial" w:hAnsi="Arial" w:cs="Arial"/>
          <w:sz w:val="20"/>
          <w:szCs w:val="20"/>
        </w:rPr>
        <w:t>: redes temáticas (actualmente 63) agrupadas en seis áreas —desde Ciencias Naturales hasta Políticas y Derecho— que facilitan proyectos de investigación y educación conjunta.</w:t>
      </w:r>
      <w:r w:rsidR="00DC220A" w:rsidRPr="00D273B4">
        <w:rPr>
          <w:rFonts w:ascii="Arial" w:hAnsi="Arial" w:cs="Arial"/>
          <w:sz w:val="20"/>
          <w:szCs w:val="20"/>
        </w:rPr>
        <w:t xml:space="preserve"> </w:t>
      </w:r>
    </w:p>
    <w:p w14:paraId="54640871" w14:textId="6990AA91" w:rsidR="002C1697" w:rsidRPr="00DD4B97" w:rsidRDefault="00FB3C42" w:rsidP="00DD4B97">
      <w:pPr>
        <w:spacing w:line="360" w:lineRule="auto"/>
        <w:jc w:val="both"/>
        <w:rPr>
          <w:rFonts w:ascii="Arial" w:hAnsi="Arial" w:cs="Arial"/>
          <w:sz w:val="20"/>
          <w:szCs w:val="20"/>
        </w:rPr>
      </w:pPr>
      <w:r w:rsidRPr="00D273B4">
        <w:rPr>
          <w:rFonts w:ascii="Arial" w:hAnsi="Arial" w:cs="Arial"/>
          <w:b/>
          <w:bCs/>
          <w:sz w:val="20"/>
          <w:szCs w:val="20"/>
        </w:rPr>
        <w:t>Apoyo a comunidades indígenas</w:t>
      </w:r>
      <w:r w:rsidRPr="00D273B4">
        <w:rPr>
          <w:rFonts w:ascii="Arial" w:hAnsi="Arial" w:cs="Arial"/>
          <w:sz w:val="20"/>
          <w:szCs w:val="20"/>
        </w:rPr>
        <w:t>: varios comités y fondos (p.ej., el Frederik Paulsen Jr. Action Award y el Heal Fund) promueven la participación activa de pueblos originarios en proyectos académicos y de desarrollo.</w:t>
      </w:r>
      <w:r w:rsidR="00DC220A" w:rsidRPr="00D273B4">
        <w:rPr>
          <w:rFonts w:ascii="Arial" w:hAnsi="Arial" w:cs="Arial"/>
          <w:sz w:val="20"/>
          <w:szCs w:val="20"/>
        </w:rPr>
        <w:t xml:space="preserve"> </w:t>
      </w:r>
      <w:r w:rsidRPr="00D273B4">
        <w:rPr>
          <w:rFonts w:ascii="Arial" w:hAnsi="Arial" w:cs="Arial"/>
          <w:sz w:val="20"/>
          <w:szCs w:val="20"/>
        </w:rPr>
        <w:t>Aunque UArctic no “imparte” títulos oficialmente —esa función recae en cada institución socia— coordina programas transversales y certificaciones, y facilita la creación de nuevas ofertas académicas en colaboración con universidades como UiT The Arctic University of Norway en Tromsø. UArctic es, por tanto, el principal vehículo de cooperación ártica internacional, articulando movilidad, proyectos de investigación y desarrollo de capacidades en toda la región circumpolar.</w:t>
      </w:r>
      <w:r w:rsidR="00AF7654" w:rsidRPr="00D273B4">
        <w:rPr>
          <w:rFonts w:ascii="Arial" w:hAnsi="Arial" w:cs="Arial"/>
          <w:sz w:val="20"/>
          <w:szCs w:val="20"/>
        </w:rPr>
        <w:t xml:space="preserve"> El Secretario General de la University of the Arctic nos propuso suscribir un convenio de entendimiento para integrar a nuestra universidad en esta red ártica, con el objetivo de fortalecer un núcleo antártico que facilite futuras alianzas polares. Asimismo, mencionó la disponibilidad de fondos destinados a impulsar estos procesos y destacó nuestro destacado desempeño como investigadores antárticos —registrados como los más productivos de Chile—, lo que despertó gran interés. En respuesta, acordamos abrir el diálogo con </w:t>
      </w:r>
      <w:r w:rsidR="00AF7654" w:rsidRPr="00D273B4">
        <w:rPr>
          <w:rFonts w:ascii="Arial" w:hAnsi="Arial" w:cs="Arial"/>
          <w:sz w:val="20"/>
          <w:szCs w:val="20"/>
        </w:rPr>
        <w:lastRenderedPageBreak/>
        <w:t>nuestro equipo académico y facilitar el contacto con Pamela Santibáñez, para acceder a nuevos datos del Nodo Antártico, y con Juan Carlos Aravena, dada su vinculación con el CIGA.</w:t>
      </w:r>
    </w:p>
    <w:p w14:paraId="55DE001E" w14:textId="477FF0CB" w:rsidR="002C1697" w:rsidRPr="002C1697" w:rsidRDefault="002C1697" w:rsidP="002C1697">
      <w:pPr>
        <w:pStyle w:val="Ttulo1"/>
        <w:tabs>
          <w:tab w:val="left" w:pos="4820"/>
        </w:tabs>
        <w:spacing w:line="360" w:lineRule="auto"/>
        <w:jc w:val="both"/>
        <w:rPr>
          <w:b/>
          <w:bCs/>
          <w:lang w:val="es-ES"/>
        </w:rPr>
      </w:pPr>
      <w:bookmarkStart w:id="7" w:name="_Toc202867720"/>
      <w:r w:rsidRPr="002C1697">
        <w:rPr>
          <w:rFonts w:eastAsia="Calibri"/>
          <w:b/>
          <w:bCs/>
          <w:lang w:val="es-ES"/>
        </w:rPr>
        <w:t xml:space="preserve">Reunión con el Centro de Estudios para la Paz (CPS) Profesor asociado </w:t>
      </w:r>
      <w:proofErr w:type="spellStart"/>
      <w:r w:rsidRPr="002C1697">
        <w:rPr>
          <w:rFonts w:eastAsia="Calibri"/>
          <w:b/>
          <w:bCs/>
          <w:lang w:val="es-ES"/>
        </w:rPr>
        <w:t>Salehin</w:t>
      </w:r>
      <w:proofErr w:type="spellEnd"/>
      <w:r w:rsidRPr="002C1697">
        <w:rPr>
          <w:rFonts w:eastAsia="Calibri"/>
          <w:b/>
          <w:bCs/>
          <w:lang w:val="es-ES"/>
        </w:rPr>
        <w:t xml:space="preserve">, Mohammad </w:t>
      </w:r>
      <w:proofErr w:type="spellStart"/>
      <w:r w:rsidRPr="002C1697">
        <w:rPr>
          <w:rFonts w:eastAsia="Calibri"/>
          <w:b/>
          <w:bCs/>
          <w:lang w:val="es-ES"/>
        </w:rPr>
        <w:t>Musfequs</w:t>
      </w:r>
      <w:proofErr w:type="spellEnd"/>
      <w:r w:rsidRPr="002C1697">
        <w:rPr>
          <w:rFonts w:eastAsia="Calibri"/>
          <w:b/>
          <w:bCs/>
          <w:lang w:val="es-ES"/>
        </w:rPr>
        <w:t xml:space="preserve"> y con la Jefe del Centro (Profesor asociado) Marcela Douglas </w:t>
      </w:r>
      <w:proofErr w:type="spellStart"/>
      <w:r w:rsidRPr="002C1697">
        <w:rPr>
          <w:rFonts w:eastAsia="Calibri"/>
          <w:b/>
          <w:bCs/>
          <w:lang w:val="es-ES"/>
        </w:rPr>
        <w:t>Aranibar</w:t>
      </w:r>
      <w:proofErr w:type="spellEnd"/>
      <w:r w:rsidRPr="002C1697">
        <w:rPr>
          <w:rFonts w:eastAsia="Calibri"/>
          <w:b/>
          <w:bCs/>
          <w:lang w:val="es-ES"/>
        </w:rPr>
        <w:t xml:space="preserve">  de la Universidad del Ártico (</w:t>
      </w:r>
      <w:proofErr w:type="spellStart"/>
      <w:r w:rsidRPr="002C1697">
        <w:rPr>
          <w:rFonts w:eastAsia="Calibri"/>
          <w:b/>
          <w:bCs/>
          <w:lang w:val="es-ES"/>
        </w:rPr>
        <w:t>UArctic</w:t>
      </w:r>
      <w:proofErr w:type="spellEnd"/>
      <w:r w:rsidRPr="002C1697">
        <w:rPr>
          <w:rFonts w:eastAsia="Calibri"/>
          <w:b/>
          <w:bCs/>
          <w:lang w:val="es-ES"/>
        </w:rPr>
        <w:t>),</w:t>
      </w:r>
      <w:bookmarkEnd w:id="7"/>
    </w:p>
    <w:p w14:paraId="056B9355" w14:textId="2396BFE3" w:rsidR="002C1697" w:rsidRPr="00D273B4" w:rsidRDefault="00DD4B97" w:rsidP="00D273B4">
      <w:pPr>
        <w:spacing w:line="360" w:lineRule="auto"/>
        <w:jc w:val="both"/>
        <w:rPr>
          <w:rFonts w:ascii="Arial" w:hAnsi="Arial" w:cs="Arial"/>
          <w:sz w:val="20"/>
          <w:szCs w:val="20"/>
        </w:rPr>
      </w:pPr>
      <w:r>
        <w:rPr>
          <w:rFonts w:ascii="Arial" w:hAnsi="Arial" w:cs="Arial"/>
          <w:sz w:val="20"/>
          <w:szCs w:val="20"/>
        </w:rPr>
        <w:t>F</w:t>
      </w:r>
      <w:r w:rsidR="002C1697" w:rsidRPr="00D273B4">
        <w:rPr>
          <w:rFonts w:ascii="Arial" w:hAnsi="Arial" w:cs="Arial"/>
          <w:sz w:val="20"/>
          <w:szCs w:val="20"/>
        </w:rPr>
        <w:t>undado en 2002, es el único centro universitario de estudios de paz en Noruega. Su misión es promover y desarrollar investigaciones críticas y multidisciplinares sobre paz y conflicto, articulando actividades de investigación, docencia y extensión. Entre sus líneas de trabajo destacan la educación para la paz, los medios de vida en contextos afectados por conflictos, los procesos de mediación, el control de armamento y la reintegración post-conflicto. Además, el CPS coordina redes de investigación como War and Peace Dynamics (WarPeD) y Resilient Civilians, y colabora con grupos de investigación internacionales en temas que van desde la seguridad humana hasta la justicia de género en contextos de paz y conflicto. Su programa de Magíster en Transformación de Conflictos y Paz (Peace and Conflict Transformation, MPCT) es un máster inglés de dos años (120 ECTS) de carácter interdisciplinario. Combina perspectivas de ciencias sociales, ciencia política, sociología, historia, pedagogía, estudios religiosos, antropología, psicología, derecho y salud para formar profesionales capaces de diseñar y evaluar procesos de construcción de paz no violenta. El plan de estudios incluye asignaturas obligatorias en teoría y metodología de los estudios de paz, y ofrece optativas que permiten especializaciones en áreas como mediación, educación para la paz, seguridad y desarrollo sostenible. El último semestre está dedicado a la elaboración de una tesis de carácter teórico o empírico bajo la supervisión de investigadores del CPS</w:t>
      </w:r>
    </w:p>
    <w:p w14:paraId="16096ECE" w14:textId="77777777" w:rsidR="002C1697" w:rsidRPr="00D273B4" w:rsidRDefault="002C1697" w:rsidP="00D273B4">
      <w:pPr>
        <w:spacing w:line="360" w:lineRule="auto"/>
        <w:jc w:val="both"/>
        <w:rPr>
          <w:rFonts w:ascii="Arial" w:hAnsi="Arial" w:cs="Arial"/>
          <w:sz w:val="20"/>
          <w:szCs w:val="20"/>
        </w:rPr>
      </w:pPr>
      <w:r w:rsidRPr="00D273B4">
        <w:rPr>
          <w:rFonts w:ascii="Arial" w:hAnsi="Arial" w:cs="Arial"/>
          <w:sz w:val="20"/>
          <w:szCs w:val="20"/>
        </w:rPr>
        <w:t>Los principales aprendizajes de esta reunión ponen de manifiesto que, aun sin disponer de un grupo de investigación con elevados indicadores internacionales, es posible generar un programa académico de gran atractivo y reconocimiento global. La clave radica en ofrecer una propuesta formativa coherente y de alta calidad, sustentada por docentes comprometidos y un modelo presencial que resulta especialmente atractivo para estudiantes internacionales. Esto demuestra que, incluso en contextos de alto aislamiento, una oferta académica sólida y un equipo dedicado pueden compensar la falta de centros de investigación de élite, permitiendo impartir enseñanza especializada y de excelencia que capte la atención de la comunidad global.</w:t>
      </w:r>
    </w:p>
    <w:p w14:paraId="76C9797C" w14:textId="77777777" w:rsidR="002C1697" w:rsidRDefault="002C1697" w:rsidP="002C1697">
      <w:pPr>
        <w:pStyle w:val="Prrafodelista"/>
        <w:spacing w:line="360" w:lineRule="auto"/>
        <w:jc w:val="both"/>
        <w:rPr>
          <w:rFonts w:ascii="Arial" w:hAnsi="Arial" w:cs="Arial"/>
          <w:sz w:val="20"/>
          <w:szCs w:val="20"/>
        </w:rPr>
      </w:pPr>
    </w:p>
    <w:p w14:paraId="4137D34A" w14:textId="77777777" w:rsidR="002C1697" w:rsidRPr="0073259F" w:rsidRDefault="002C1697" w:rsidP="002C1697">
      <w:pPr>
        <w:pStyle w:val="Prrafodelista"/>
        <w:spacing w:line="360" w:lineRule="auto"/>
        <w:jc w:val="both"/>
        <w:rPr>
          <w:rFonts w:ascii="Arial" w:hAnsi="Arial" w:cs="Arial"/>
          <w:sz w:val="20"/>
          <w:szCs w:val="20"/>
        </w:rPr>
      </w:pPr>
    </w:p>
    <w:p w14:paraId="1405347D" w14:textId="77777777" w:rsidR="002C1697" w:rsidRDefault="002C1697" w:rsidP="002C1697">
      <w:pPr>
        <w:spacing w:line="360" w:lineRule="auto"/>
        <w:rPr>
          <w:rFonts w:ascii="Arial" w:hAnsi="Arial" w:cs="Arial"/>
          <w:sz w:val="20"/>
          <w:szCs w:val="20"/>
        </w:rPr>
      </w:pPr>
      <w:r>
        <w:rPr>
          <w:rFonts w:ascii="Arial" w:hAnsi="Arial" w:cs="Arial"/>
          <w:sz w:val="20"/>
          <w:szCs w:val="20"/>
        </w:rPr>
        <w:br w:type="page"/>
      </w:r>
    </w:p>
    <w:p w14:paraId="5F42B48B" w14:textId="3B6A8BEB" w:rsidR="002C1697" w:rsidRPr="002C1697" w:rsidRDefault="002C1697" w:rsidP="002C1697">
      <w:pPr>
        <w:pStyle w:val="Ttulo1"/>
        <w:numPr>
          <w:ilvl w:val="0"/>
          <w:numId w:val="0"/>
        </w:numPr>
        <w:spacing w:line="360" w:lineRule="auto"/>
        <w:ind w:left="720"/>
        <w:rPr>
          <w:b/>
          <w:bCs/>
        </w:rPr>
      </w:pPr>
      <w:bookmarkStart w:id="8" w:name="_Toc202867721"/>
      <w:r w:rsidRPr="002C1697">
        <w:rPr>
          <w:b/>
          <w:bCs/>
        </w:rPr>
        <w:lastRenderedPageBreak/>
        <w:t>OTRAS ACTIVIDADES:</w:t>
      </w:r>
      <w:bookmarkEnd w:id="8"/>
      <w:r w:rsidRPr="002C1697">
        <w:rPr>
          <w:b/>
          <w:bCs/>
        </w:rPr>
        <w:t xml:space="preserve"> </w:t>
      </w:r>
    </w:p>
    <w:p w14:paraId="37F05A4A" w14:textId="1D1523B9" w:rsidR="00466DFF" w:rsidRPr="00D273B4" w:rsidRDefault="00466DFF" w:rsidP="00D273B4">
      <w:pPr>
        <w:spacing w:line="360" w:lineRule="auto"/>
        <w:jc w:val="both"/>
        <w:rPr>
          <w:rFonts w:ascii="Arial" w:hAnsi="Arial" w:cs="Arial"/>
          <w:sz w:val="20"/>
          <w:szCs w:val="20"/>
        </w:rPr>
      </w:pPr>
      <w:r w:rsidRPr="00D273B4">
        <w:rPr>
          <w:rFonts w:ascii="Arial" w:hAnsi="Arial" w:cs="Arial"/>
          <w:sz w:val="20"/>
          <w:szCs w:val="20"/>
        </w:rPr>
        <w:t>Visitamos Polaris, el acuario ártico internacional, aunque lamentablemente estaba cerrado por remodelación, por lo que la experiencia tuvo escasa relevancia para nuestro futuro Centro Antártico Internacional, dado que sus instalaciones cambiarán de forma sustancial en los próximos meses. Además, recorrimos el jardín botánico, donde pudimos identificar modelos y prácticas aplicables a un eventual jardín en el Instituto de la Patagonia. Cabe destacar que su director actual, quien ya conoce Punta Arenas, ha manifestado interés en colaborar en la creación de un espacio botánico local.</w:t>
      </w:r>
    </w:p>
    <w:p w14:paraId="5CF001E1" w14:textId="77777777" w:rsidR="00466DFF" w:rsidRPr="0073259F" w:rsidRDefault="00466DFF" w:rsidP="002C1697">
      <w:pPr>
        <w:spacing w:line="360" w:lineRule="auto"/>
        <w:jc w:val="both"/>
        <w:rPr>
          <w:rFonts w:ascii="Arial" w:hAnsi="Arial" w:cs="Arial"/>
          <w:sz w:val="20"/>
          <w:szCs w:val="20"/>
        </w:rPr>
      </w:pPr>
    </w:p>
    <w:p w14:paraId="693DE0D9" w14:textId="77777777" w:rsidR="002C1697" w:rsidRDefault="002C1697" w:rsidP="002C1697">
      <w:pPr>
        <w:spacing w:line="360" w:lineRule="auto"/>
        <w:jc w:val="both"/>
        <w:rPr>
          <w:rFonts w:ascii="Arial" w:eastAsiaTheme="majorEastAsia" w:hAnsi="Arial" w:cstheme="majorBidi"/>
          <w:b/>
          <w:bCs/>
          <w:color w:val="0F4761" w:themeColor="accent1" w:themeShade="BF"/>
          <w:szCs w:val="40"/>
        </w:rPr>
      </w:pPr>
      <w:r>
        <w:rPr>
          <w:b/>
          <w:bCs/>
        </w:rPr>
        <w:br w:type="page"/>
      </w:r>
    </w:p>
    <w:p w14:paraId="21872092" w14:textId="224BB9CF" w:rsidR="00466DFF" w:rsidRDefault="002C1697" w:rsidP="002C1697">
      <w:pPr>
        <w:pStyle w:val="Ttulo1"/>
        <w:numPr>
          <w:ilvl w:val="0"/>
          <w:numId w:val="0"/>
        </w:numPr>
        <w:spacing w:line="360" w:lineRule="auto"/>
        <w:ind w:left="720"/>
        <w:jc w:val="both"/>
        <w:rPr>
          <w:b/>
          <w:bCs/>
        </w:rPr>
      </w:pPr>
      <w:bookmarkStart w:id="9" w:name="_Toc202867722"/>
      <w:r w:rsidRPr="002C1697">
        <w:rPr>
          <w:b/>
          <w:bCs/>
        </w:rPr>
        <w:lastRenderedPageBreak/>
        <w:t>CONCLUSIONES:</w:t>
      </w:r>
      <w:bookmarkEnd w:id="9"/>
    </w:p>
    <w:p w14:paraId="4F8BF0EB" w14:textId="77777777" w:rsidR="00D273B4" w:rsidRDefault="00D273B4" w:rsidP="002C1697">
      <w:pPr>
        <w:spacing w:line="360" w:lineRule="auto"/>
        <w:jc w:val="both"/>
        <w:rPr>
          <w:rFonts w:ascii="Arial" w:hAnsi="Arial" w:cs="Arial"/>
          <w:sz w:val="20"/>
          <w:szCs w:val="20"/>
        </w:rPr>
      </w:pPr>
    </w:p>
    <w:p w14:paraId="2BABF371" w14:textId="77777777" w:rsidR="00DD4B97" w:rsidRDefault="003F0DED" w:rsidP="002C1697">
      <w:pPr>
        <w:spacing w:line="360" w:lineRule="auto"/>
        <w:jc w:val="both"/>
        <w:rPr>
          <w:rFonts w:ascii="Arial" w:hAnsi="Arial" w:cs="Arial"/>
          <w:sz w:val="20"/>
          <w:szCs w:val="20"/>
        </w:rPr>
      </w:pPr>
      <w:r w:rsidRPr="0073259F">
        <w:rPr>
          <w:rFonts w:ascii="Arial" w:hAnsi="Arial" w:cs="Arial"/>
          <w:sz w:val="20"/>
          <w:szCs w:val="20"/>
        </w:rPr>
        <w:t xml:space="preserve">La Universidad Ártica de Tromsø resulta especialmente valiosa para nuestros objetivos, pues combina un elevado nivel de desarrollo en múltiples dimensiones con una disposición realista y colaborativa: reconocen nuestras diferencias en infraestructura investigativa, pero valoran nuestras propuestas y facilitan alianzas mutuamente beneficiosas. Su singular enfoque, que equilibra una sólida orientación local con una proyección internacional, privilegia la cooperación y el bien común por sobre retórica de “excelencia” o “liderazgo mundial”. </w:t>
      </w:r>
    </w:p>
    <w:p w14:paraId="4409EB2C" w14:textId="694C3577" w:rsidR="00706865" w:rsidRPr="0073259F" w:rsidRDefault="003F0DED" w:rsidP="002C1697">
      <w:pPr>
        <w:spacing w:line="360" w:lineRule="auto"/>
        <w:jc w:val="both"/>
        <w:rPr>
          <w:rFonts w:ascii="Arial" w:hAnsi="Arial" w:cs="Arial"/>
          <w:sz w:val="20"/>
          <w:szCs w:val="20"/>
        </w:rPr>
      </w:pPr>
      <w:r w:rsidRPr="0073259F">
        <w:rPr>
          <w:rFonts w:ascii="Arial" w:hAnsi="Arial" w:cs="Arial"/>
          <w:sz w:val="20"/>
          <w:szCs w:val="20"/>
        </w:rPr>
        <w:t>Además, han demostrado que es posible atraer a estudiantes de todo el mundo a programas de alta calidad impartidos por académicos comprometidos, incluso en contextos remotos, siempre que se ofrezca una experiencia integral: campus acogedor, residencias que albergan cerca del 40 % del estudiantado, múltiples bibliotecas, comedores y espacios de estudio rodeados de un entorno natural atractivo. En conjunto, estas características consolidan a UiT como un modelo inspirador para nuestro proyecto en zonas extremas.</w:t>
      </w:r>
    </w:p>
    <w:p w14:paraId="7C863FAA" w14:textId="0F0A9E6C" w:rsidR="00097B15" w:rsidRPr="0073259F" w:rsidRDefault="00097B15" w:rsidP="002C1697">
      <w:pPr>
        <w:spacing w:line="360" w:lineRule="auto"/>
        <w:ind w:left="360"/>
        <w:jc w:val="both"/>
        <w:rPr>
          <w:rFonts w:ascii="Arial" w:hAnsi="Arial" w:cs="Arial"/>
          <w:sz w:val="20"/>
          <w:szCs w:val="20"/>
        </w:rPr>
      </w:pPr>
    </w:p>
    <w:p w14:paraId="78A1749C" w14:textId="1BA00D31" w:rsidR="005F5AEF" w:rsidRPr="0073259F" w:rsidRDefault="005F5AEF" w:rsidP="002C1697">
      <w:pPr>
        <w:spacing w:line="360" w:lineRule="auto"/>
        <w:jc w:val="both"/>
        <w:rPr>
          <w:rFonts w:ascii="Arial" w:hAnsi="Arial" w:cs="Arial"/>
          <w:sz w:val="20"/>
          <w:szCs w:val="20"/>
        </w:rPr>
      </w:pPr>
    </w:p>
    <w:p w14:paraId="4E0A9650" w14:textId="77777777" w:rsidR="00630BEE" w:rsidRPr="0073259F" w:rsidRDefault="00630BEE" w:rsidP="002C1697">
      <w:pPr>
        <w:spacing w:line="360" w:lineRule="auto"/>
        <w:jc w:val="both"/>
        <w:rPr>
          <w:rFonts w:ascii="Arial" w:hAnsi="Arial" w:cs="Arial"/>
          <w:sz w:val="20"/>
          <w:szCs w:val="20"/>
        </w:rPr>
      </w:pPr>
    </w:p>
    <w:p w14:paraId="25E6FDFF" w14:textId="77777777" w:rsidR="00630BEE" w:rsidRPr="0073259F" w:rsidRDefault="00630BEE" w:rsidP="002C1697">
      <w:pPr>
        <w:spacing w:line="360" w:lineRule="auto"/>
        <w:jc w:val="both"/>
        <w:rPr>
          <w:rFonts w:ascii="Arial" w:hAnsi="Arial" w:cs="Arial"/>
          <w:sz w:val="20"/>
          <w:szCs w:val="20"/>
        </w:rPr>
      </w:pPr>
    </w:p>
    <w:p w14:paraId="78852569" w14:textId="77777777" w:rsidR="00A53FB6" w:rsidRPr="0073259F" w:rsidRDefault="00A53FB6" w:rsidP="002C1697">
      <w:pPr>
        <w:spacing w:line="360" w:lineRule="auto"/>
        <w:jc w:val="both"/>
        <w:rPr>
          <w:rFonts w:ascii="Arial" w:hAnsi="Arial" w:cs="Arial"/>
          <w:sz w:val="20"/>
          <w:szCs w:val="20"/>
        </w:rPr>
      </w:pPr>
    </w:p>
    <w:sectPr w:rsidR="00A53FB6" w:rsidRPr="0073259F" w:rsidSect="005B537B">
      <w:headerReference w:type="default" r:id="rId7"/>
      <w:pgSz w:w="12240" w:h="15840"/>
      <w:pgMar w:top="1418"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B80D9" w14:textId="77777777" w:rsidR="00E3747F" w:rsidRDefault="00E3747F" w:rsidP="005B537B">
      <w:pPr>
        <w:spacing w:after="0" w:line="240" w:lineRule="auto"/>
      </w:pPr>
      <w:r>
        <w:separator/>
      </w:r>
    </w:p>
  </w:endnote>
  <w:endnote w:type="continuationSeparator" w:id="0">
    <w:p w14:paraId="534C901E" w14:textId="77777777" w:rsidR="00E3747F" w:rsidRDefault="00E3747F" w:rsidP="005B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82DF8" w14:textId="77777777" w:rsidR="00E3747F" w:rsidRDefault="00E3747F" w:rsidP="005B537B">
      <w:pPr>
        <w:spacing w:after="0" w:line="240" w:lineRule="auto"/>
      </w:pPr>
      <w:r>
        <w:separator/>
      </w:r>
    </w:p>
  </w:footnote>
  <w:footnote w:type="continuationSeparator" w:id="0">
    <w:p w14:paraId="34B0AE3E" w14:textId="77777777" w:rsidR="00E3747F" w:rsidRDefault="00E3747F" w:rsidP="005B5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68B8" w14:textId="60CD7C84" w:rsidR="005B537B" w:rsidRDefault="005B537B">
    <w:pPr>
      <w:pStyle w:val="Encabezado"/>
    </w:pPr>
    <w:r w:rsidRPr="00986277">
      <w:rPr>
        <w:noProof/>
      </w:rPr>
      <w:drawing>
        <wp:anchor distT="0" distB="0" distL="114300" distR="114300" simplePos="0" relativeHeight="251659264" behindDoc="1" locked="0" layoutInCell="1" allowOverlap="1" wp14:anchorId="462EBC54" wp14:editId="748ED80C">
          <wp:simplePos x="0" y="0"/>
          <wp:positionH relativeFrom="column">
            <wp:posOffset>82446</wp:posOffset>
          </wp:positionH>
          <wp:positionV relativeFrom="paragraph">
            <wp:posOffset>-368195</wp:posOffset>
          </wp:positionV>
          <wp:extent cx="725170" cy="740410"/>
          <wp:effectExtent l="0" t="0" r="0" b="4445"/>
          <wp:wrapTight wrapText="bothSides">
            <wp:wrapPolygon edited="0">
              <wp:start x="0" y="0"/>
              <wp:lineTo x="0" y="21118"/>
              <wp:lineTo x="21184" y="21118"/>
              <wp:lineTo x="21184" y="0"/>
              <wp:lineTo x="0" y="0"/>
            </wp:wrapPolygon>
          </wp:wrapTight>
          <wp:docPr id="18263604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360407" name=""/>
                  <pic:cNvPicPr/>
                </pic:nvPicPr>
                <pic:blipFill rotWithShape="1">
                  <a:blip r:embed="rId1">
                    <a:extLst>
                      <a:ext uri="{28A0092B-C50C-407E-A947-70E740481C1C}">
                        <a14:useLocalDpi xmlns:a14="http://schemas.microsoft.com/office/drawing/2010/main" val="0"/>
                      </a:ext>
                    </a:extLst>
                  </a:blip>
                  <a:srcRect l="6188" t="5299" r="5490" b="4531"/>
                  <a:stretch/>
                </pic:blipFill>
                <pic:spPr bwMode="auto">
                  <a:xfrm>
                    <a:off x="0" y="0"/>
                    <a:ext cx="725170" cy="740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7FA6"/>
    <w:multiLevelType w:val="hybridMultilevel"/>
    <w:tmpl w:val="B5948594"/>
    <w:lvl w:ilvl="0" w:tplc="080A0015">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2A45FF"/>
    <w:multiLevelType w:val="hybridMultilevel"/>
    <w:tmpl w:val="8F8ED1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895173"/>
    <w:multiLevelType w:val="hybridMultilevel"/>
    <w:tmpl w:val="69AA18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796871"/>
    <w:multiLevelType w:val="hybridMultilevel"/>
    <w:tmpl w:val="C3E49C46"/>
    <w:lvl w:ilvl="0" w:tplc="BD24A01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1D3961"/>
    <w:multiLevelType w:val="multilevel"/>
    <w:tmpl w:val="DD30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B5DE4"/>
    <w:multiLevelType w:val="hybridMultilevel"/>
    <w:tmpl w:val="6688D222"/>
    <w:lvl w:ilvl="0" w:tplc="7A848382">
      <w:start w:val="1"/>
      <w:numFmt w:val="upperLetter"/>
      <w:pStyle w:val="Ttulo1"/>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9E5938"/>
    <w:multiLevelType w:val="hybridMultilevel"/>
    <w:tmpl w:val="02443EC0"/>
    <w:lvl w:ilvl="0" w:tplc="FFFFFFFF">
      <w:start w:val="1"/>
      <w:numFmt w:val="upp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582CCA"/>
    <w:multiLevelType w:val="multilevel"/>
    <w:tmpl w:val="178A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1E48D0"/>
    <w:multiLevelType w:val="hybridMultilevel"/>
    <w:tmpl w:val="F740D5D2"/>
    <w:lvl w:ilvl="0" w:tplc="36D86B18">
      <w:start w:val="8"/>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525137BC"/>
    <w:multiLevelType w:val="hybridMultilevel"/>
    <w:tmpl w:val="787EF8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8AD2332"/>
    <w:multiLevelType w:val="hybridMultilevel"/>
    <w:tmpl w:val="45C0248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6E3207"/>
    <w:multiLevelType w:val="multilevel"/>
    <w:tmpl w:val="02F2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5B1D7F"/>
    <w:multiLevelType w:val="multilevel"/>
    <w:tmpl w:val="AB42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8458010">
    <w:abstractNumId w:val="2"/>
  </w:num>
  <w:num w:numId="2" w16cid:durableId="1044139067">
    <w:abstractNumId w:val="9"/>
  </w:num>
  <w:num w:numId="3" w16cid:durableId="320086274">
    <w:abstractNumId w:val="7"/>
  </w:num>
  <w:num w:numId="4" w16cid:durableId="1364596656">
    <w:abstractNumId w:val="11"/>
  </w:num>
  <w:num w:numId="5" w16cid:durableId="426190654">
    <w:abstractNumId w:val="10"/>
  </w:num>
  <w:num w:numId="6" w16cid:durableId="1412696233">
    <w:abstractNumId w:val="12"/>
  </w:num>
  <w:num w:numId="7" w16cid:durableId="540048046">
    <w:abstractNumId w:val="4"/>
  </w:num>
  <w:num w:numId="8" w16cid:durableId="2011522095">
    <w:abstractNumId w:val="8"/>
  </w:num>
  <w:num w:numId="9" w16cid:durableId="2007392832">
    <w:abstractNumId w:val="0"/>
  </w:num>
  <w:num w:numId="10" w16cid:durableId="5793698">
    <w:abstractNumId w:val="3"/>
  </w:num>
  <w:num w:numId="11" w16cid:durableId="38821575">
    <w:abstractNumId w:val="1"/>
  </w:num>
  <w:num w:numId="12" w16cid:durableId="279799226">
    <w:abstractNumId w:val="6"/>
  </w:num>
  <w:num w:numId="13" w16cid:durableId="12309248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B6"/>
    <w:rsid w:val="00032A8F"/>
    <w:rsid w:val="000508A9"/>
    <w:rsid w:val="00097B15"/>
    <w:rsid w:val="000A64AE"/>
    <w:rsid w:val="000C3C9C"/>
    <w:rsid w:val="001234F2"/>
    <w:rsid w:val="00162CEE"/>
    <w:rsid w:val="00176D9D"/>
    <w:rsid w:val="00183961"/>
    <w:rsid w:val="001B30B3"/>
    <w:rsid w:val="001F214F"/>
    <w:rsid w:val="00214BAE"/>
    <w:rsid w:val="00237B86"/>
    <w:rsid w:val="002C1697"/>
    <w:rsid w:val="002C7057"/>
    <w:rsid w:val="0032568B"/>
    <w:rsid w:val="00336955"/>
    <w:rsid w:val="00344DAD"/>
    <w:rsid w:val="003533FA"/>
    <w:rsid w:val="003A6B22"/>
    <w:rsid w:val="003B2F1B"/>
    <w:rsid w:val="003D01F6"/>
    <w:rsid w:val="003F0DED"/>
    <w:rsid w:val="0041519C"/>
    <w:rsid w:val="00420F81"/>
    <w:rsid w:val="00466DFF"/>
    <w:rsid w:val="004C138B"/>
    <w:rsid w:val="0051731E"/>
    <w:rsid w:val="00554136"/>
    <w:rsid w:val="005A1E56"/>
    <w:rsid w:val="005B2C85"/>
    <w:rsid w:val="005B537B"/>
    <w:rsid w:val="005F507A"/>
    <w:rsid w:val="005F5AEF"/>
    <w:rsid w:val="00624774"/>
    <w:rsid w:val="00630BEE"/>
    <w:rsid w:val="006A01E0"/>
    <w:rsid w:val="006E3345"/>
    <w:rsid w:val="006F404E"/>
    <w:rsid w:val="00706865"/>
    <w:rsid w:val="0073259F"/>
    <w:rsid w:val="007D5D04"/>
    <w:rsid w:val="007F26E7"/>
    <w:rsid w:val="00850F5F"/>
    <w:rsid w:val="008634B1"/>
    <w:rsid w:val="008E5311"/>
    <w:rsid w:val="009016E8"/>
    <w:rsid w:val="009331F5"/>
    <w:rsid w:val="00996843"/>
    <w:rsid w:val="00A53FB6"/>
    <w:rsid w:val="00A616D4"/>
    <w:rsid w:val="00A82FEA"/>
    <w:rsid w:val="00A8395A"/>
    <w:rsid w:val="00AB0DBA"/>
    <w:rsid w:val="00AD4858"/>
    <w:rsid w:val="00AF7654"/>
    <w:rsid w:val="00B06480"/>
    <w:rsid w:val="00B6692F"/>
    <w:rsid w:val="00BE1E0B"/>
    <w:rsid w:val="00BE1EB6"/>
    <w:rsid w:val="00C1348F"/>
    <w:rsid w:val="00C27766"/>
    <w:rsid w:val="00D273B4"/>
    <w:rsid w:val="00DA54C6"/>
    <w:rsid w:val="00DC220A"/>
    <w:rsid w:val="00DD4B97"/>
    <w:rsid w:val="00E04896"/>
    <w:rsid w:val="00E3747F"/>
    <w:rsid w:val="00E648AF"/>
    <w:rsid w:val="00FB3C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B71E5"/>
  <w15:chartTrackingRefBased/>
  <w15:docId w15:val="{5D0E9991-6B0B-42A8-BA03-2EFD9B85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1697"/>
    <w:pPr>
      <w:keepNext/>
      <w:keepLines/>
      <w:numPr>
        <w:numId w:val="13"/>
      </w:numPr>
      <w:spacing w:before="360" w:after="80"/>
      <w:outlineLvl w:val="0"/>
    </w:pPr>
    <w:rPr>
      <w:rFonts w:ascii="Arial" w:eastAsiaTheme="majorEastAsia" w:hAnsi="Arial" w:cstheme="majorBidi"/>
      <w:color w:val="215E99" w:themeColor="text2" w:themeTint="BF"/>
      <w:szCs w:val="40"/>
    </w:rPr>
  </w:style>
  <w:style w:type="paragraph" w:styleId="Ttulo2">
    <w:name w:val="heading 2"/>
    <w:basedOn w:val="Normal"/>
    <w:next w:val="Normal"/>
    <w:link w:val="Ttulo2Car"/>
    <w:uiPriority w:val="9"/>
    <w:semiHidden/>
    <w:unhideWhenUsed/>
    <w:qFormat/>
    <w:rsid w:val="00A53F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53F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53F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53F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53F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3F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3F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3FB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1697"/>
    <w:rPr>
      <w:rFonts w:ascii="Arial" w:eastAsiaTheme="majorEastAsia" w:hAnsi="Arial" w:cstheme="majorBidi"/>
      <w:color w:val="215E99" w:themeColor="text2" w:themeTint="BF"/>
      <w:szCs w:val="40"/>
    </w:rPr>
  </w:style>
  <w:style w:type="character" w:customStyle="1" w:styleId="Ttulo2Car">
    <w:name w:val="Título 2 Car"/>
    <w:basedOn w:val="Fuentedeprrafopredeter"/>
    <w:link w:val="Ttulo2"/>
    <w:uiPriority w:val="9"/>
    <w:semiHidden/>
    <w:rsid w:val="00A53FB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53FB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53FB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53FB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53F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3F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3F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3FB6"/>
    <w:rPr>
      <w:rFonts w:eastAsiaTheme="majorEastAsia" w:cstheme="majorBidi"/>
      <w:color w:val="272727" w:themeColor="text1" w:themeTint="D8"/>
    </w:rPr>
  </w:style>
  <w:style w:type="paragraph" w:styleId="Ttulo">
    <w:name w:val="Title"/>
    <w:basedOn w:val="Normal"/>
    <w:next w:val="Normal"/>
    <w:link w:val="TtuloCar"/>
    <w:uiPriority w:val="10"/>
    <w:qFormat/>
    <w:rsid w:val="00A53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3F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3F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3F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3FB6"/>
    <w:pPr>
      <w:spacing w:before="160"/>
      <w:jc w:val="center"/>
    </w:pPr>
    <w:rPr>
      <w:i/>
      <w:iCs/>
      <w:color w:val="404040" w:themeColor="text1" w:themeTint="BF"/>
    </w:rPr>
  </w:style>
  <w:style w:type="character" w:customStyle="1" w:styleId="CitaCar">
    <w:name w:val="Cita Car"/>
    <w:basedOn w:val="Fuentedeprrafopredeter"/>
    <w:link w:val="Cita"/>
    <w:uiPriority w:val="29"/>
    <w:rsid w:val="00A53FB6"/>
    <w:rPr>
      <w:i/>
      <w:iCs/>
      <w:color w:val="404040" w:themeColor="text1" w:themeTint="BF"/>
    </w:rPr>
  </w:style>
  <w:style w:type="paragraph" w:styleId="Prrafodelista">
    <w:name w:val="List Paragraph"/>
    <w:basedOn w:val="Normal"/>
    <w:uiPriority w:val="34"/>
    <w:qFormat/>
    <w:rsid w:val="00A53FB6"/>
    <w:pPr>
      <w:ind w:left="720"/>
      <w:contextualSpacing/>
    </w:pPr>
  </w:style>
  <w:style w:type="character" w:styleId="nfasisintenso">
    <w:name w:val="Intense Emphasis"/>
    <w:basedOn w:val="Fuentedeprrafopredeter"/>
    <w:uiPriority w:val="21"/>
    <w:qFormat/>
    <w:rsid w:val="00A53FB6"/>
    <w:rPr>
      <w:i/>
      <w:iCs/>
      <w:color w:val="0F4761" w:themeColor="accent1" w:themeShade="BF"/>
    </w:rPr>
  </w:style>
  <w:style w:type="paragraph" w:styleId="Citadestacada">
    <w:name w:val="Intense Quote"/>
    <w:basedOn w:val="Normal"/>
    <w:next w:val="Normal"/>
    <w:link w:val="CitadestacadaCar"/>
    <w:uiPriority w:val="30"/>
    <w:qFormat/>
    <w:rsid w:val="00A53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3FB6"/>
    <w:rPr>
      <w:i/>
      <w:iCs/>
      <w:color w:val="0F4761" w:themeColor="accent1" w:themeShade="BF"/>
    </w:rPr>
  </w:style>
  <w:style w:type="character" w:styleId="Referenciaintensa">
    <w:name w:val="Intense Reference"/>
    <w:basedOn w:val="Fuentedeprrafopredeter"/>
    <w:uiPriority w:val="32"/>
    <w:qFormat/>
    <w:rsid w:val="00A53FB6"/>
    <w:rPr>
      <w:b/>
      <w:bCs/>
      <w:smallCaps/>
      <w:color w:val="0F4761" w:themeColor="accent1" w:themeShade="BF"/>
      <w:spacing w:val="5"/>
    </w:rPr>
  </w:style>
  <w:style w:type="paragraph" w:styleId="NormalWeb">
    <w:name w:val="Normal (Web)"/>
    <w:basedOn w:val="Normal"/>
    <w:uiPriority w:val="99"/>
    <w:semiHidden/>
    <w:unhideWhenUsed/>
    <w:rsid w:val="00AB0DBA"/>
    <w:rPr>
      <w:rFonts w:ascii="Times New Roman" w:hAnsi="Times New Roman" w:cs="Times New Roman"/>
      <w:sz w:val="24"/>
      <w:szCs w:val="24"/>
    </w:rPr>
  </w:style>
  <w:style w:type="character" w:styleId="Hipervnculo">
    <w:name w:val="Hyperlink"/>
    <w:basedOn w:val="Fuentedeprrafopredeter"/>
    <w:uiPriority w:val="99"/>
    <w:unhideWhenUsed/>
    <w:rsid w:val="000C3C9C"/>
    <w:rPr>
      <w:color w:val="467886" w:themeColor="hyperlink"/>
      <w:u w:val="single"/>
    </w:rPr>
  </w:style>
  <w:style w:type="character" w:styleId="Mencinsinresolver">
    <w:name w:val="Unresolved Mention"/>
    <w:basedOn w:val="Fuentedeprrafopredeter"/>
    <w:uiPriority w:val="99"/>
    <w:semiHidden/>
    <w:unhideWhenUsed/>
    <w:rsid w:val="000C3C9C"/>
    <w:rPr>
      <w:color w:val="605E5C"/>
      <w:shd w:val="clear" w:color="auto" w:fill="E1DFDD"/>
    </w:rPr>
  </w:style>
  <w:style w:type="paragraph" w:styleId="Encabezado">
    <w:name w:val="header"/>
    <w:basedOn w:val="Normal"/>
    <w:link w:val="EncabezadoCar"/>
    <w:uiPriority w:val="99"/>
    <w:unhideWhenUsed/>
    <w:rsid w:val="005B53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537B"/>
  </w:style>
  <w:style w:type="paragraph" w:styleId="Piedepgina">
    <w:name w:val="footer"/>
    <w:basedOn w:val="Normal"/>
    <w:link w:val="PiedepginaCar"/>
    <w:uiPriority w:val="99"/>
    <w:unhideWhenUsed/>
    <w:rsid w:val="005B53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537B"/>
  </w:style>
  <w:style w:type="table" w:customStyle="1" w:styleId="Tablaconcuadrcula1clara-nfasis11">
    <w:name w:val="Tabla con cuadrícula 1 clara - Énfasis 11"/>
    <w:basedOn w:val="Tablanormal"/>
    <w:next w:val="Tablaconcuadrcula1clara-nfasis1"/>
    <w:uiPriority w:val="46"/>
    <w:rsid w:val="005B537B"/>
    <w:pPr>
      <w:spacing w:after="0" w:line="240" w:lineRule="auto"/>
    </w:pPr>
    <w:rPr>
      <w:kern w:val="0"/>
      <w:lang w:val="es-419"/>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5B537B"/>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E04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D273B4"/>
    <w:pPr>
      <w:spacing w:before="120" w:after="0"/>
    </w:pPr>
    <w:rPr>
      <w:b/>
      <w:bCs/>
      <w:i/>
      <w:iCs/>
      <w:sz w:val="24"/>
      <w:szCs w:val="24"/>
    </w:rPr>
  </w:style>
  <w:style w:type="paragraph" w:styleId="TDC2">
    <w:name w:val="toc 2"/>
    <w:basedOn w:val="Normal"/>
    <w:next w:val="Normal"/>
    <w:autoRedefine/>
    <w:uiPriority w:val="39"/>
    <w:unhideWhenUsed/>
    <w:rsid w:val="00D273B4"/>
    <w:pPr>
      <w:spacing w:before="120" w:after="0"/>
      <w:ind w:left="220"/>
    </w:pPr>
    <w:rPr>
      <w:b/>
      <w:bCs/>
    </w:rPr>
  </w:style>
  <w:style w:type="paragraph" w:styleId="TDC3">
    <w:name w:val="toc 3"/>
    <w:basedOn w:val="Normal"/>
    <w:next w:val="Normal"/>
    <w:autoRedefine/>
    <w:uiPriority w:val="39"/>
    <w:unhideWhenUsed/>
    <w:rsid w:val="00D273B4"/>
    <w:pPr>
      <w:spacing w:after="0"/>
      <w:ind w:left="440"/>
    </w:pPr>
    <w:rPr>
      <w:sz w:val="20"/>
      <w:szCs w:val="20"/>
    </w:rPr>
  </w:style>
  <w:style w:type="paragraph" w:styleId="TDC4">
    <w:name w:val="toc 4"/>
    <w:basedOn w:val="Normal"/>
    <w:next w:val="Normal"/>
    <w:autoRedefine/>
    <w:uiPriority w:val="39"/>
    <w:unhideWhenUsed/>
    <w:rsid w:val="00D273B4"/>
    <w:pPr>
      <w:spacing w:after="0"/>
      <w:ind w:left="660"/>
    </w:pPr>
    <w:rPr>
      <w:sz w:val="20"/>
      <w:szCs w:val="20"/>
    </w:rPr>
  </w:style>
  <w:style w:type="paragraph" w:styleId="TDC5">
    <w:name w:val="toc 5"/>
    <w:basedOn w:val="Normal"/>
    <w:next w:val="Normal"/>
    <w:autoRedefine/>
    <w:uiPriority w:val="39"/>
    <w:unhideWhenUsed/>
    <w:rsid w:val="00D273B4"/>
    <w:pPr>
      <w:spacing w:after="0"/>
      <w:ind w:left="880"/>
    </w:pPr>
    <w:rPr>
      <w:sz w:val="20"/>
      <w:szCs w:val="20"/>
    </w:rPr>
  </w:style>
  <w:style w:type="paragraph" w:styleId="TDC6">
    <w:name w:val="toc 6"/>
    <w:basedOn w:val="Normal"/>
    <w:next w:val="Normal"/>
    <w:autoRedefine/>
    <w:uiPriority w:val="39"/>
    <w:unhideWhenUsed/>
    <w:rsid w:val="00D273B4"/>
    <w:pPr>
      <w:spacing w:after="0"/>
      <w:ind w:left="1100"/>
    </w:pPr>
    <w:rPr>
      <w:sz w:val="20"/>
      <w:szCs w:val="20"/>
    </w:rPr>
  </w:style>
  <w:style w:type="paragraph" w:styleId="TDC7">
    <w:name w:val="toc 7"/>
    <w:basedOn w:val="Normal"/>
    <w:next w:val="Normal"/>
    <w:autoRedefine/>
    <w:uiPriority w:val="39"/>
    <w:unhideWhenUsed/>
    <w:rsid w:val="00D273B4"/>
    <w:pPr>
      <w:spacing w:after="0"/>
      <w:ind w:left="1320"/>
    </w:pPr>
    <w:rPr>
      <w:sz w:val="20"/>
      <w:szCs w:val="20"/>
    </w:rPr>
  </w:style>
  <w:style w:type="paragraph" w:styleId="TDC8">
    <w:name w:val="toc 8"/>
    <w:basedOn w:val="Normal"/>
    <w:next w:val="Normal"/>
    <w:autoRedefine/>
    <w:uiPriority w:val="39"/>
    <w:unhideWhenUsed/>
    <w:rsid w:val="00D273B4"/>
    <w:pPr>
      <w:spacing w:after="0"/>
      <w:ind w:left="1540"/>
    </w:pPr>
    <w:rPr>
      <w:sz w:val="20"/>
      <w:szCs w:val="20"/>
    </w:rPr>
  </w:style>
  <w:style w:type="paragraph" w:styleId="TDC9">
    <w:name w:val="toc 9"/>
    <w:basedOn w:val="Normal"/>
    <w:next w:val="Normal"/>
    <w:autoRedefine/>
    <w:uiPriority w:val="39"/>
    <w:unhideWhenUsed/>
    <w:rsid w:val="00D273B4"/>
    <w:pPr>
      <w:spacing w:after="0"/>
      <w:ind w:left="1760"/>
    </w:pPr>
    <w:rPr>
      <w:sz w:val="20"/>
      <w:szCs w:val="20"/>
    </w:rPr>
  </w:style>
  <w:style w:type="character" w:customStyle="1" w:styleId="apple-converted-space">
    <w:name w:val="apple-converted-space"/>
    <w:basedOn w:val="Fuentedeprrafopredeter"/>
    <w:rsid w:val="00D27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33135">
      <w:bodyDiv w:val="1"/>
      <w:marLeft w:val="0"/>
      <w:marRight w:val="0"/>
      <w:marTop w:val="0"/>
      <w:marBottom w:val="0"/>
      <w:divBdr>
        <w:top w:val="none" w:sz="0" w:space="0" w:color="auto"/>
        <w:left w:val="none" w:sz="0" w:space="0" w:color="auto"/>
        <w:bottom w:val="none" w:sz="0" w:space="0" w:color="auto"/>
        <w:right w:val="none" w:sz="0" w:space="0" w:color="auto"/>
      </w:divBdr>
    </w:div>
    <w:div w:id="600842771">
      <w:bodyDiv w:val="1"/>
      <w:marLeft w:val="0"/>
      <w:marRight w:val="0"/>
      <w:marTop w:val="0"/>
      <w:marBottom w:val="0"/>
      <w:divBdr>
        <w:top w:val="none" w:sz="0" w:space="0" w:color="auto"/>
        <w:left w:val="none" w:sz="0" w:space="0" w:color="auto"/>
        <w:bottom w:val="none" w:sz="0" w:space="0" w:color="auto"/>
        <w:right w:val="none" w:sz="0" w:space="0" w:color="auto"/>
      </w:divBdr>
    </w:div>
    <w:div w:id="700007930">
      <w:bodyDiv w:val="1"/>
      <w:marLeft w:val="0"/>
      <w:marRight w:val="0"/>
      <w:marTop w:val="0"/>
      <w:marBottom w:val="0"/>
      <w:divBdr>
        <w:top w:val="none" w:sz="0" w:space="0" w:color="auto"/>
        <w:left w:val="none" w:sz="0" w:space="0" w:color="auto"/>
        <w:bottom w:val="none" w:sz="0" w:space="0" w:color="auto"/>
        <w:right w:val="none" w:sz="0" w:space="0" w:color="auto"/>
      </w:divBdr>
    </w:div>
    <w:div w:id="784082987">
      <w:bodyDiv w:val="1"/>
      <w:marLeft w:val="0"/>
      <w:marRight w:val="0"/>
      <w:marTop w:val="0"/>
      <w:marBottom w:val="0"/>
      <w:divBdr>
        <w:top w:val="none" w:sz="0" w:space="0" w:color="auto"/>
        <w:left w:val="none" w:sz="0" w:space="0" w:color="auto"/>
        <w:bottom w:val="none" w:sz="0" w:space="0" w:color="auto"/>
        <w:right w:val="none" w:sz="0" w:space="0" w:color="auto"/>
      </w:divBdr>
    </w:div>
    <w:div w:id="886792466">
      <w:bodyDiv w:val="1"/>
      <w:marLeft w:val="0"/>
      <w:marRight w:val="0"/>
      <w:marTop w:val="0"/>
      <w:marBottom w:val="0"/>
      <w:divBdr>
        <w:top w:val="none" w:sz="0" w:space="0" w:color="auto"/>
        <w:left w:val="none" w:sz="0" w:space="0" w:color="auto"/>
        <w:bottom w:val="none" w:sz="0" w:space="0" w:color="auto"/>
        <w:right w:val="none" w:sz="0" w:space="0" w:color="auto"/>
      </w:divBdr>
    </w:div>
    <w:div w:id="1246065046">
      <w:bodyDiv w:val="1"/>
      <w:marLeft w:val="0"/>
      <w:marRight w:val="0"/>
      <w:marTop w:val="0"/>
      <w:marBottom w:val="0"/>
      <w:divBdr>
        <w:top w:val="none" w:sz="0" w:space="0" w:color="auto"/>
        <w:left w:val="none" w:sz="0" w:space="0" w:color="auto"/>
        <w:bottom w:val="none" w:sz="0" w:space="0" w:color="auto"/>
        <w:right w:val="none" w:sz="0" w:space="0" w:color="auto"/>
      </w:divBdr>
    </w:div>
    <w:div w:id="1673726624">
      <w:bodyDiv w:val="1"/>
      <w:marLeft w:val="0"/>
      <w:marRight w:val="0"/>
      <w:marTop w:val="0"/>
      <w:marBottom w:val="0"/>
      <w:divBdr>
        <w:top w:val="none" w:sz="0" w:space="0" w:color="auto"/>
        <w:left w:val="none" w:sz="0" w:space="0" w:color="auto"/>
        <w:bottom w:val="none" w:sz="0" w:space="0" w:color="auto"/>
        <w:right w:val="none" w:sz="0" w:space="0" w:color="auto"/>
      </w:divBdr>
    </w:div>
    <w:div w:id="1734235360">
      <w:bodyDiv w:val="1"/>
      <w:marLeft w:val="0"/>
      <w:marRight w:val="0"/>
      <w:marTop w:val="0"/>
      <w:marBottom w:val="0"/>
      <w:divBdr>
        <w:top w:val="none" w:sz="0" w:space="0" w:color="auto"/>
        <w:left w:val="none" w:sz="0" w:space="0" w:color="auto"/>
        <w:bottom w:val="none" w:sz="0" w:space="0" w:color="auto"/>
        <w:right w:val="none" w:sz="0" w:space="0" w:color="auto"/>
      </w:divBdr>
    </w:div>
    <w:div w:id="1774550562">
      <w:bodyDiv w:val="1"/>
      <w:marLeft w:val="0"/>
      <w:marRight w:val="0"/>
      <w:marTop w:val="0"/>
      <w:marBottom w:val="0"/>
      <w:divBdr>
        <w:top w:val="none" w:sz="0" w:space="0" w:color="auto"/>
        <w:left w:val="none" w:sz="0" w:space="0" w:color="auto"/>
        <w:bottom w:val="none" w:sz="0" w:space="0" w:color="auto"/>
        <w:right w:val="none" w:sz="0" w:space="0" w:color="auto"/>
      </w:divBdr>
    </w:div>
    <w:div w:id="1950352572">
      <w:bodyDiv w:val="1"/>
      <w:marLeft w:val="0"/>
      <w:marRight w:val="0"/>
      <w:marTop w:val="0"/>
      <w:marBottom w:val="0"/>
      <w:divBdr>
        <w:top w:val="none" w:sz="0" w:space="0" w:color="auto"/>
        <w:left w:val="none" w:sz="0" w:space="0" w:color="auto"/>
        <w:bottom w:val="none" w:sz="0" w:space="0" w:color="auto"/>
        <w:right w:val="none" w:sz="0" w:space="0" w:color="auto"/>
      </w:divBdr>
    </w:div>
    <w:div w:id="199498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11</Pages>
  <Words>4005</Words>
  <Characters>22033</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Andrea Estrada Goic</dc:creator>
  <cp:keywords/>
  <dc:description/>
  <cp:lastModifiedBy>Microsoft Office User</cp:lastModifiedBy>
  <cp:revision>17</cp:revision>
  <dcterms:created xsi:type="dcterms:W3CDTF">2025-07-07T19:43:00Z</dcterms:created>
  <dcterms:modified xsi:type="dcterms:W3CDTF">2025-07-10T23:02:00Z</dcterms:modified>
</cp:coreProperties>
</file>